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039977F2"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7B5A81">
        <w:rPr>
          <w:rFonts w:ascii="Arial" w:hAnsi="Arial" w:cs="Arial"/>
          <w:b/>
          <w:bCs/>
          <w:snapToGrid w:val="0"/>
          <w:sz w:val="24"/>
        </w:rPr>
        <w:t>101</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EB4D6D" w:rsidRPr="00EB4D6D">
        <w:rPr>
          <w:rFonts w:ascii="Arial" w:hAnsi="Arial" w:cs="Arial"/>
          <w:b/>
          <w:bCs/>
          <w:snapToGrid w:val="0"/>
          <w:sz w:val="24"/>
        </w:rPr>
        <w:t>RP-232110</w:t>
      </w:r>
    </w:p>
    <w:p w14:paraId="0D0CCBA3" w14:textId="5364EE7D" w:rsidR="00AB33E6" w:rsidRPr="00E172F6" w:rsidRDefault="007B5A81" w:rsidP="00AB33E6">
      <w:pPr>
        <w:wordWrap/>
        <w:adjustRightInd w:val="0"/>
        <w:snapToGrid w:val="0"/>
        <w:spacing w:line="360" w:lineRule="auto"/>
        <w:rPr>
          <w:rFonts w:ascii="Arial" w:hAnsi="Arial" w:cs="Arial"/>
          <w:b/>
          <w:bCs/>
          <w:snapToGrid w:val="0"/>
          <w:sz w:val="24"/>
          <w:lang w:val="en-GB"/>
        </w:rPr>
      </w:pPr>
      <w:r w:rsidRPr="007B5A81">
        <w:rPr>
          <w:rFonts w:ascii="Arial" w:hAnsi="Arial" w:cs="Arial"/>
          <w:b/>
          <w:bCs/>
          <w:snapToGrid w:val="0"/>
          <w:sz w:val="24"/>
          <w:lang w:val="en-GB"/>
        </w:rPr>
        <w:t>Bangalore, India, September 11-15, 2023</w:t>
      </w:r>
    </w:p>
    <w:p w14:paraId="3EECED7A" w14:textId="536AFB3E"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B5A81" w:rsidRPr="007B5A81">
        <w:rPr>
          <w:rFonts w:ascii="Arial" w:hAnsi="Arial" w:cs="Arial"/>
          <w:snapToGrid w:val="0"/>
          <w:sz w:val="24"/>
        </w:rPr>
        <w:t>8A.2.12.5</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797B9796"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56DF3" w:rsidRPr="00856DF3">
        <w:rPr>
          <w:rFonts w:ascii="Arial" w:hAnsi="Arial" w:cs="Arial"/>
          <w:snapToGrid w:val="0"/>
          <w:sz w:val="24"/>
        </w:rPr>
        <w:t>Discussion on NR sidelink evolution</w:t>
      </w:r>
      <w:r w:rsidR="007B5A81">
        <w:rPr>
          <w:rFonts w:ascii="Arial" w:hAnsi="Arial" w:cs="Arial"/>
          <w:snapToGrid w:val="0"/>
          <w:sz w:val="24"/>
        </w:rPr>
        <w:t xml:space="preserve"> in Rel-19</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43B18BB2" w14:textId="00690CED" w:rsidR="00CE2BD3" w:rsidRDefault="007B5A81" w:rsidP="00CD0823">
      <w:pPr>
        <w:widowControl/>
        <w:ind w:firstLine="360"/>
        <w:rPr>
          <w:rFonts w:ascii="Times New Roman"/>
          <w:szCs w:val="20"/>
        </w:rPr>
      </w:pPr>
      <w:r>
        <w:rPr>
          <w:rFonts w:ascii="Times New Roman"/>
          <w:szCs w:val="20"/>
        </w:rPr>
        <w:t xml:space="preserve">Sidelink evolution was discussed in </w:t>
      </w:r>
      <w:r w:rsidR="00CD0823">
        <w:rPr>
          <w:rFonts w:ascii="Times New Roman"/>
          <w:szCs w:val="20"/>
        </w:rPr>
        <w:t>RAN Workshop for Rel-19, and it was listed as an additional RAN1-led candidate topic in [1] with a note “</w:t>
      </w:r>
      <w:r w:rsidR="00CD0823" w:rsidRPr="00CD0823">
        <w:rPr>
          <w:rFonts w:ascii="Times New Roman"/>
          <w:szCs w:val="20"/>
        </w:rPr>
        <w:t>If included, critical to focus on a limited set of possible areas addressing real commercial needs</w:t>
      </w:r>
      <w:r w:rsidR="00CD0823">
        <w:rPr>
          <w:rFonts w:ascii="Times New Roman"/>
          <w:szCs w:val="20"/>
        </w:rPr>
        <w:t>.”</w:t>
      </w:r>
    </w:p>
    <w:p w14:paraId="5535C0BA" w14:textId="2F27DA89" w:rsidR="009D6824" w:rsidRDefault="00374B8B" w:rsidP="002B1A47">
      <w:pPr>
        <w:widowControl/>
        <w:ind w:firstLine="360"/>
        <w:rPr>
          <w:rFonts w:ascii="Times New Roman"/>
          <w:szCs w:val="20"/>
        </w:rPr>
      </w:pPr>
      <w:r>
        <w:rPr>
          <w:rFonts w:ascii="Times New Roman" w:hint="eastAsia"/>
          <w:szCs w:val="20"/>
        </w:rPr>
        <w:t>This contribution discusses justification and objective of the potential Rel-19 WI for sidelink evolution.</w:t>
      </w:r>
    </w:p>
    <w:p w14:paraId="0093CD1B" w14:textId="77777777" w:rsidR="00D1568B" w:rsidRPr="00374B8B" w:rsidRDefault="00D1568B" w:rsidP="00AA30BC">
      <w:pPr>
        <w:tabs>
          <w:tab w:val="left" w:pos="3261"/>
        </w:tabs>
        <w:wordWrap/>
        <w:adjustRightInd w:val="0"/>
        <w:snapToGrid w:val="0"/>
        <w:spacing w:line="360" w:lineRule="auto"/>
        <w:rPr>
          <w:rFonts w:ascii="Arial" w:hAnsi="Arial" w:cs="Arial"/>
          <w:b/>
          <w:bCs/>
          <w:snapToGrid w:val="0"/>
          <w:sz w:val="24"/>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6F487580" w14:textId="74668BDF" w:rsidR="007B157F" w:rsidRPr="007B157F" w:rsidRDefault="007B157F" w:rsidP="007B157F">
      <w:pPr>
        <w:pStyle w:val="af4"/>
        <w:widowControl/>
        <w:numPr>
          <w:ilvl w:val="1"/>
          <w:numId w:val="15"/>
        </w:numPr>
        <w:spacing w:after="120"/>
        <w:ind w:leftChars="0" w:left="392" w:hangingChars="178" w:hanging="392"/>
        <w:rPr>
          <w:rFonts w:ascii="Times New Roman"/>
          <w:sz w:val="22"/>
          <w:szCs w:val="20"/>
        </w:rPr>
      </w:pPr>
      <w:r w:rsidRPr="007B157F">
        <w:rPr>
          <w:rFonts w:ascii="Times New Roman" w:hint="eastAsia"/>
          <w:sz w:val="22"/>
          <w:szCs w:val="20"/>
        </w:rPr>
        <w:t xml:space="preserve">Sidelink </w:t>
      </w:r>
      <w:r w:rsidR="00374B8B">
        <w:rPr>
          <w:rFonts w:ascii="Times New Roman"/>
          <w:sz w:val="22"/>
          <w:szCs w:val="20"/>
        </w:rPr>
        <w:t>carrier aggregation (</w:t>
      </w:r>
      <w:r w:rsidRPr="007B157F">
        <w:rPr>
          <w:rFonts w:ascii="Times New Roman" w:hint="eastAsia"/>
          <w:sz w:val="22"/>
          <w:szCs w:val="20"/>
        </w:rPr>
        <w:t>CA</w:t>
      </w:r>
      <w:r w:rsidR="00374B8B">
        <w:rPr>
          <w:rFonts w:ascii="Times New Roman"/>
          <w:sz w:val="22"/>
          <w:szCs w:val="20"/>
        </w:rPr>
        <w:t>)</w:t>
      </w:r>
      <w:r w:rsidR="00CD0823">
        <w:rPr>
          <w:rFonts w:ascii="Times New Roman"/>
          <w:sz w:val="22"/>
          <w:szCs w:val="20"/>
        </w:rPr>
        <w:t xml:space="preserve"> enhancement</w:t>
      </w:r>
    </w:p>
    <w:p w14:paraId="071E2887" w14:textId="2D9CCA3A" w:rsidR="00166A4C" w:rsidRDefault="00374B8B" w:rsidP="00B334B8">
      <w:pPr>
        <w:widowControl/>
        <w:ind w:firstLine="360"/>
        <w:rPr>
          <w:rFonts w:ascii="Times New Roman"/>
          <w:szCs w:val="20"/>
        </w:rPr>
      </w:pPr>
      <w:r>
        <w:rPr>
          <w:rFonts w:ascii="Times New Roman" w:hint="eastAsia"/>
          <w:szCs w:val="20"/>
        </w:rPr>
        <w:t>Rel-18 WI is specifying sidelink CA with the following objective:</w:t>
      </w:r>
    </w:p>
    <w:tbl>
      <w:tblPr>
        <w:tblStyle w:val="aa"/>
        <w:tblW w:w="0" w:type="auto"/>
        <w:tblLook w:val="04A0" w:firstRow="1" w:lastRow="0" w:firstColumn="1" w:lastColumn="0" w:noHBand="0" w:noVBand="1"/>
      </w:tblPr>
      <w:tblGrid>
        <w:gridCol w:w="9362"/>
      </w:tblGrid>
      <w:tr w:rsidR="00166A4C" w14:paraId="3D674C38" w14:textId="77777777" w:rsidTr="00166A4C">
        <w:tc>
          <w:tcPr>
            <w:tcW w:w="9362" w:type="dxa"/>
          </w:tcPr>
          <w:p w14:paraId="3EE3CC9F" w14:textId="77777777" w:rsidR="00166A4C" w:rsidRPr="00E54642" w:rsidRDefault="00166A4C" w:rsidP="00166A4C">
            <w:pPr>
              <w:widowControl/>
              <w:numPr>
                <w:ilvl w:val="0"/>
                <w:numId w:val="34"/>
              </w:numPr>
              <w:wordWrap/>
              <w:overflowPunct w:val="0"/>
              <w:adjustRightInd w:val="0"/>
              <w:spacing w:before="120"/>
              <w:ind w:left="426" w:hanging="284"/>
              <w:jc w:val="left"/>
              <w:textAlignment w:val="baseline"/>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442DC627" w14:textId="77777777" w:rsidR="00166A4C" w:rsidRPr="00136DCA"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Support only LTE sidelink CA features for NR (i.e., SL carrier (re-)selection, synchronization of aggregated carriers, power control for simultaneous sidelink TX, packet duplication)</w:t>
            </w:r>
          </w:p>
          <w:p w14:paraId="2B17B091" w14:textId="77777777" w:rsidR="00166A4C" w:rsidRPr="00136DCA"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 xml:space="preserve">The work is limited to </w:t>
            </w:r>
            <w:r>
              <w:rPr>
                <w:rFonts w:ascii="Times" w:hAnsi="Times" w:cs="Times"/>
              </w:rPr>
              <w:t xml:space="preserve">intra-band CA for the </w:t>
            </w:r>
            <w:r w:rsidRPr="00136DCA">
              <w:rPr>
                <w:rFonts w:ascii="Times" w:hAnsi="Times" w:cs="Times"/>
              </w:rPr>
              <w:t>ITS band</w:t>
            </w:r>
            <w:r>
              <w:rPr>
                <w:rFonts w:ascii="Times" w:hAnsi="Times" w:cs="Times"/>
              </w:rPr>
              <w:t xml:space="preserve"> in FR1 (Band n47).</w:t>
            </w:r>
          </w:p>
          <w:p w14:paraId="46DD81D1" w14:textId="77777777" w:rsidR="00166A4C" w:rsidRPr="00136DCA"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No specific enhancements of Rel-17 sidelink features with sidelink CA support.</w:t>
            </w:r>
          </w:p>
          <w:p w14:paraId="3ACA1248" w14:textId="77777777" w:rsidR="00166A4C" w:rsidRPr="00136DCA"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This feature is backwards compatible in the following regards</w:t>
            </w:r>
          </w:p>
          <w:p w14:paraId="752C2873" w14:textId="77777777" w:rsidR="00166A4C" w:rsidRDefault="00166A4C" w:rsidP="00166A4C">
            <w:pPr>
              <w:widowControl/>
              <w:numPr>
                <w:ilvl w:val="1"/>
                <w:numId w:val="33"/>
              </w:numPr>
              <w:wordWrap/>
              <w:overflowPunct w:val="0"/>
              <w:adjustRightInd w:val="0"/>
              <w:spacing w:before="60" w:after="60"/>
              <w:ind w:left="1418" w:hanging="284"/>
              <w:jc w:val="left"/>
              <w:textAlignment w:val="baseline"/>
              <w:rPr>
                <w:rFonts w:ascii="Times" w:hAnsi="Times" w:cs="Times"/>
              </w:rPr>
            </w:pPr>
            <w:bookmarkStart w:id="2" w:name="_Hlk89619097"/>
            <w:r w:rsidRPr="00136DCA">
              <w:rPr>
                <w:rFonts w:ascii="Times" w:hAnsi="Times" w:cs="Times"/>
              </w:rPr>
              <w:t>A Rel-16/Rel-17 UE can receive Rel-18 sidelink broadcast/groupcast transmissions with CA for the carrier on which it receives PSCCH/PSSCH and transmits the corresponding sidelink HARQ feedback</w:t>
            </w:r>
            <w:bookmarkEnd w:id="2"/>
            <w:r w:rsidRPr="00136DCA">
              <w:rPr>
                <w:rFonts w:ascii="Times" w:hAnsi="Times" w:cs="Times"/>
              </w:rPr>
              <w:t xml:space="preserve"> (when SL-HARQ is enabled in SCI)</w:t>
            </w:r>
          </w:p>
          <w:p w14:paraId="3A18AAE1" w14:textId="77777777" w:rsid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Only Mode 2 operation</w:t>
            </w:r>
          </w:p>
          <w:p w14:paraId="5F60512E" w14:textId="77777777" w:rsid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Same subcarrier spacing (SCS) among CA carriers to avoid resource selection enhancements and AGC issues</w:t>
            </w:r>
          </w:p>
          <w:p w14:paraId="0D172A94" w14:textId="77777777" w:rsidR="00166A4C" w:rsidRDefault="00166A4C" w:rsidP="00166A4C">
            <w:pPr>
              <w:widowControl/>
              <w:numPr>
                <w:ilvl w:val="1"/>
                <w:numId w:val="33"/>
              </w:numPr>
              <w:wordWrap/>
              <w:overflowPunct w:val="0"/>
              <w:adjustRightInd w:val="0"/>
              <w:spacing w:before="60" w:after="60"/>
              <w:jc w:val="left"/>
              <w:textAlignment w:val="baseline"/>
              <w:rPr>
                <w:rFonts w:ascii="Times" w:hAnsi="Times" w:cs="Times"/>
              </w:rPr>
            </w:pPr>
            <w:r w:rsidRPr="00DD5B4C">
              <w:rPr>
                <w:rFonts w:ascii="Times" w:hAnsi="Times" w:cs="Times"/>
              </w:rPr>
              <w:t>Time resources for PSFCH are aligned among the carriers for CA</w:t>
            </w:r>
          </w:p>
          <w:p w14:paraId="4CC93393" w14:textId="77777777" w:rsid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No enhancement related to SCI transmissions on PSCCH/PSSCH, PSFCH transmission, RSRP feedback, CSI feedback and congestion control compared to Rel-16 (i.e., per-carrier operation)</w:t>
            </w:r>
          </w:p>
          <w:p w14:paraId="5DCC7700" w14:textId="77777777" w:rsidR="00166A4C" w:rsidRDefault="00166A4C" w:rsidP="00166A4C">
            <w:pPr>
              <w:widowControl/>
              <w:numPr>
                <w:ilvl w:val="1"/>
                <w:numId w:val="33"/>
              </w:numPr>
              <w:wordWrap/>
              <w:overflowPunct w:val="0"/>
              <w:adjustRightInd w:val="0"/>
              <w:spacing w:before="60" w:after="60"/>
              <w:jc w:val="left"/>
              <w:textAlignment w:val="baseline"/>
              <w:rPr>
                <w:rFonts w:ascii="Times" w:hAnsi="Times" w:cs="Times"/>
              </w:rPr>
            </w:pPr>
            <w:r w:rsidRPr="00DD5B4C">
              <w:rPr>
                <w:rFonts w:ascii="Times" w:hAnsi="Times" w:cs="Times"/>
              </w:rPr>
              <w:t>SL resource indication remains to be per-resource pool and per-carrier basis (no cross-carrier scheduling in SCI)</w:t>
            </w:r>
          </w:p>
          <w:p w14:paraId="07FE2AB9" w14:textId="77777777" w:rsidR="00166A4C" w:rsidRDefault="00166A4C" w:rsidP="00166A4C">
            <w:pPr>
              <w:widowControl/>
              <w:numPr>
                <w:ilvl w:val="1"/>
                <w:numId w:val="33"/>
              </w:numPr>
              <w:wordWrap/>
              <w:overflowPunct w:val="0"/>
              <w:adjustRightInd w:val="0"/>
              <w:spacing w:before="60" w:after="60"/>
              <w:jc w:val="left"/>
              <w:textAlignment w:val="baseline"/>
              <w:rPr>
                <w:rFonts w:ascii="Times" w:hAnsi="Times" w:cs="Times"/>
              </w:rPr>
            </w:pPr>
            <w:r w:rsidRPr="00DD5B4C">
              <w:rPr>
                <w:rFonts w:ascii="Times" w:hAnsi="Times" w:cs="Times"/>
              </w:rPr>
              <w:t>UE transmits SL HARQ feedback on the same carrier on which it receives the associated PSSCH</w:t>
            </w:r>
          </w:p>
          <w:p w14:paraId="3CB9A804" w14:textId="77777777" w:rsid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No consideration for limited transmission and reception capability</w:t>
            </w:r>
          </w:p>
          <w:p w14:paraId="396F6CC2" w14:textId="77777777" w:rsid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No primary/secondary carrier differentiation</w:t>
            </w:r>
          </w:p>
          <w:p w14:paraId="02AC1703" w14:textId="77777777" w:rsid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Reuse the LTE sidelink CA design for the following aspects:</w:t>
            </w:r>
          </w:p>
          <w:p w14:paraId="1EFB7AF9" w14:textId="77777777" w:rsidR="00166A4C" w:rsidRPr="00E54642" w:rsidRDefault="00166A4C" w:rsidP="00166A4C">
            <w:pPr>
              <w:widowControl/>
              <w:numPr>
                <w:ilvl w:val="1"/>
                <w:numId w:val="33"/>
              </w:numPr>
              <w:wordWrap/>
              <w:overflowPunct w:val="0"/>
              <w:adjustRightInd w:val="0"/>
              <w:spacing w:before="60" w:after="60"/>
              <w:jc w:val="left"/>
              <w:textAlignment w:val="baseline"/>
              <w:rPr>
                <w:rFonts w:ascii="Times" w:hAnsi="Times" w:cs="Times"/>
              </w:rPr>
            </w:pPr>
            <w:r w:rsidRPr="00E54642">
              <w:rPr>
                <w:rFonts w:ascii="Times" w:hAnsi="Times" w:cs="Times"/>
              </w:rPr>
              <w:t>Sidelink carrier (re-)selection, synchronization of aggregated carriers, Tx power split for simultaneous sidelink transmissions, packet duplication</w:t>
            </w:r>
          </w:p>
          <w:p w14:paraId="30A974BB" w14:textId="77777777" w:rsid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The CA band combination work in RAN4 is limited to intra-band contiguous CA in Rel-18.</w:t>
            </w:r>
          </w:p>
          <w:p w14:paraId="0BC2709F" w14:textId="0D59CFC2" w:rsidR="00166A4C" w:rsidRPr="00166A4C" w:rsidRDefault="00166A4C" w:rsidP="00166A4C">
            <w:pPr>
              <w:widowControl/>
              <w:numPr>
                <w:ilvl w:val="0"/>
                <w:numId w:val="33"/>
              </w:numPr>
              <w:wordWrap/>
              <w:overflowPunct w:val="0"/>
              <w:adjustRightInd w:val="0"/>
              <w:spacing w:before="60" w:after="60"/>
              <w:ind w:left="993" w:hanging="284"/>
              <w:jc w:val="left"/>
              <w:textAlignment w:val="baseline"/>
              <w:rPr>
                <w:rFonts w:ascii="Times" w:hAnsi="Times" w:cs="Times"/>
              </w:rPr>
            </w:pPr>
            <w:r w:rsidRPr="00DD5B4C">
              <w:rPr>
                <w:rFonts w:ascii="Times" w:hAnsi="Times" w:cs="Times"/>
              </w:rPr>
              <w:t>Note: The SL CA work in Rel-18 mainly targets some V2X use cases</w:t>
            </w:r>
          </w:p>
        </w:tc>
      </w:tr>
    </w:tbl>
    <w:p w14:paraId="7B767755" w14:textId="77777777" w:rsidR="00166A4C" w:rsidRDefault="00166A4C" w:rsidP="00166A4C">
      <w:pPr>
        <w:widowControl/>
        <w:rPr>
          <w:rFonts w:ascii="Times New Roman"/>
          <w:szCs w:val="20"/>
        </w:rPr>
      </w:pPr>
    </w:p>
    <w:p w14:paraId="0ACD0400" w14:textId="0EE83785" w:rsidR="00166A4C" w:rsidRDefault="00002A35" w:rsidP="00B334B8">
      <w:pPr>
        <w:widowControl/>
        <w:ind w:firstLine="360"/>
        <w:rPr>
          <w:rFonts w:ascii="Times New Roman"/>
          <w:szCs w:val="20"/>
        </w:rPr>
      </w:pPr>
      <w:r>
        <w:rPr>
          <w:rFonts w:ascii="Times New Roman"/>
          <w:szCs w:val="20"/>
        </w:rPr>
        <w:t>T</w:t>
      </w:r>
      <w:r>
        <w:rPr>
          <w:rFonts w:ascii="Times New Roman" w:hint="eastAsia"/>
          <w:szCs w:val="20"/>
        </w:rPr>
        <w:t>he bullets under this Rel-18 objective</w:t>
      </w:r>
      <w:r>
        <w:rPr>
          <w:rFonts w:ascii="Times New Roman"/>
          <w:szCs w:val="20"/>
        </w:rPr>
        <w:t xml:space="preserve"> reflect that there are a lot of restrictions in supporting sidelink CA in order to address ITS requirements with a limited specification work. As there are more use cases requiring sidelink CA not fully addressed by Rel-18, it is necessary to consider further enhancements in Rel-19.</w:t>
      </w:r>
      <w:r w:rsidR="00D01624">
        <w:rPr>
          <w:rFonts w:ascii="Times New Roman"/>
          <w:szCs w:val="20"/>
        </w:rPr>
        <w:t xml:space="preserve"> In particular, automotive </w:t>
      </w:r>
      <w:r w:rsidR="00D01624">
        <w:rPr>
          <w:rFonts w:ascii="Times New Roman"/>
          <w:szCs w:val="20"/>
        </w:rPr>
        <w:lastRenderedPageBreak/>
        <w:t>industry already indicated that sidelink CA is one of high priority topics in Rel-19 [e.g., 2 (indicated as “strongly recommended”), 3, 4] and also public safety sees the need for sidelink CA [e.g., 5].</w:t>
      </w:r>
    </w:p>
    <w:p w14:paraId="4A83DAE1" w14:textId="4BAB6152" w:rsidR="00002A35" w:rsidRPr="00002A35" w:rsidRDefault="0055282F" w:rsidP="00E21B85">
      <w:pPr>
        <w:widowControl/>
        <w:ind w:firstLine="360"/>
        <w:rPr>
          <w:rFonts w:ascii="Times New Roman"/>
          <w:szCs w:val="20"/>
        </w:rPr>
      </w:pPr>
      <w:r>
        <w:rPr>
          <w:rFonts w:ascii="Times New Roman" w:hint="eastAsia"/>
          <w:szCs w:val="20"/>
        </w:rPr>
        <w:t xml:space="preserve">Firstly, </w:t>
      </w:r>
      <w:r>
        <w:rPr>
          <w:rFonts w:ascii="Times New Roman"/>
          <w:szCs w:val="20"/>
        </w:rPr>
        <w:t xml:space="preserve">Rel-18 NR sidelink does not support Mode 1 operation with sidelink CA. </w:t>
      </w:r>
      <w:r w:rsidR="00E21B85">
        <w:rPr>
          <w:rFonts w:ascii="Times New Roman"/>
          <w:szCs w:val="20"/>
        </w:rPr>
        <w:t xml:space="preserve">This would lead to a conflict between a tighter network control and a wider sidelink bandwidth, thus, </w:t>
      </w:r>
      <w:r>
        <w:rPr>
          <w:rFonts w:ascii="Times New Roman"/>
          <w:szCs w:val="20"/>
        </w:rPr>
        <w:t>Rel-19 needs to consider specifying necessary signaling and procedure for Mode 1 operation with sidelink CA.</w:t>
      </w:r>
      <w:r w:rsidR="00E21B85">
        <w:rPr>
          <w:rFonts w:ascii="Times New Roman"/>
          <w:szCs w:val="20"/>
        </w:rPr>
        <w:t xml:space="preserve"> </w:t>
      </w:r>
      <w:r w:rsidR="00002A35">
        <w:rPr>
          <w:rFonts w:ascii="Times New Roman"/>
          <w:szCs w:val="20"/>
        </w:rPr>
        <w:t xml:space="preserve">For ITS use cases, at least those supported by LTE sidelink for V2X need to be included in Rel-19. In particular, handling limited transmission capability needs to be considered as it </w:t>
      </w:r>
      <w:r>
        <w:rPr>
          <w:rFonts w:ascii="Times New Roman"/>
          <w:szCs w:val="20"/>
        </w:rPr>
        <w:t>enables a low cost V2X device implementation (by sharing a single TX circuit for multiple ITS carriers). Also, this feature will be beneficial for other commercial and public safety use cases which also require supporting a large system bandwidth with a low device implementation cost.</w:t>
      </w:r>
      <w:r w:rsidR="00E21B85">
        <w:rPr>
          <w:rFonts w:ascii="Times New Roman"/>
          <w:szCs w:val="20"/>
        </w:rPr>
        <w:t xml:space="preserve"> In addition, a</w:t>
      </w:r>
      <w:r w:rsidR="00E21B85">
        <w:rPr>
          <w:rFonts w:ascii="Times New Roman" w:hint="eastAsia"/>
          <w:szCs w:val="20"/>
        </w:rPr>
        <w:t xml:space="preserve">s Rel-18 sidelink CA is limited to </w:t>
      </w:r>
      <w:r w:rsidR="00E21B85" w:rsidRPr="00E21B85">
        <w:rPr>
          <w:rFonts w:ascii="Times New Roman"/>
          <w:szCs w:val="20"/>
        </w:rPr>
        <w:t>intra-band CA for the ITS band in FR1 (Band n47)</w:t>
      </w:r>
      <w:r w:rsidR="00E21B85">
        <w:rPr>
          <w:rFonts w:ascii="Times New Roman"/>
          <w:szCs w:val="20"/>
        </w:rPr>
        <w:t>, aggregation of other sidelink frequency bands</w:t>
      </w:r>
      <w:r w:rsidR="00B55981">
        <w:rPr>
          <w:rFonts w:ascii="Times New Roman"/>
          <w:szCs w:val="20"/>
        </w:rPr>
        <w:t xml:space="preserve"> to be supported by Rel-19 specifications (including unlicensed band and FR2) </w:t>
      </w:r>
      <w:r w:rsidR="00E21B85">
        <w:rPr>
          <w:rFonts w:ascii="Times New Roman"/>
          <w:szCs w:val="20"/>
        </w:rPr>
        <w:t>need to be supported as well.</w:t>
      </w:r>
    </w:p>
    <w:p w14:paraId="5AC6AA92" w14:textId="0035BF59" w:rsidR="00002A35" w:rsidRPr="00002A35" w:rsidRDefault="00B55981" w:rsidP="00B55981">
      <w:pPr>
        <w:widowControl/>
        <w:ind w:firstLine="360"/>
        <w:rPr>
          <w:rFonts w:ascii="Times New Roman"/>
          <w:szCs w:val="20"/>
        </w:rPr>
      </w:pPr>
      <w:r>
        <w:rPr>
          <w:rFonts w:ascii="Times New Roman"/>
          <w:szCs w:val="20"/>
        </w:rPr>
        <w:t>Even though Rel-19 needs to consider widening the operation of sidelink CA as mentioned above, some Rel-18 restrictions are still valid and need to be kept in Rel-19 in order to avoid unnecessary workload. One example is “</w:t>
      </w:r>
      <w:r w:rsidRPr="00166A4C">
        <w:rPr>
          <w:rFonts w:ascii="Times New Roman"/>
          <w:szCs w:val="20"/>
        </w:rPr>
        <w:t>SL resource indication remains to be per-resource pool and per-carrier basis (no cross-carrier scheduling in SCI)</w:t>
      </w:r>
      <w:r>
        <w:rPr>
          <w:rFonts w:ascii="Times New Roman"/>
          <w:szCs w:val="20"/>
        </w:rPr>
        <w:t>” as this is in line with LTE sidelink CA and introduction of cross-pool resource selection/indication will cause a resource collision issue caused by, e.g., no SCI reception in the legacy UEs. Another example is “</w:t>
      </w:r>
      <w:r w:rsidRPr="00B24B38">
        <w:rPr>
          <w:rFonts w:ascii="Times New Roman"/>
          <w:szCs w:val="20"/>
        </w:rPr>
        <w:t>Same subcarrier spacing (SCS) among CA carriers to avoid resource selection enhancements and AGC issues</w:t>
      </w:r>
      <w:r>
        <w:rPr>
          <w:rFonts w:ascii="Times New Roman"/>
          <w:szCs w:val="20"/>
        </w:rPr>
        <w:t>” and “</w:t>
      </w:r>
      <w:r w:rsidRPr="00B24B38">
        <w:rPr>
          <w:rFonts w:ascii="Times New Roman"/>
          <w:szCs w:val="20"/>
        </w:rPr>
        <w:t>Time resources for PSFCH are aligned among the carriers for CA</w:t>
      </w:r>
      <w:r>
        <w:rPr>
          <w:rFonts w:ascii="Times New Roman"/>
          <w:szCs w:val="20"/>
        </w:rPr>
        <w:t xml:space="preserve">,” which can be kept the carriers aggregated in the same frequency band. </w:t>
      </w:r>
      <w:r w:rsidR="007214DA">
        <w:rPr>
          <w:rFonts w:ascii="Times New Roman"/>
          <w:szCs w:val="20"/>
        </w:rPr>
        <w:t>The work can assume that sidelink TX/RX operation in a frequency band does not impact that in a different band, thus the half duplex problem and AGC issue can be limited to the carriers in the same frequency band. With these assumptions, no special handling is necessary for the half duplex problem and AGC issue in Rel-19 and a better coexistence with legacy UEs will be possible.</w:t>
      </w:r>
    </w:p>
    <w:p w14:paraId="032D82B9" w14:textId="77777777" w:rsidR="000539FE" w:rsidRDefault="000539FE" w:rsidP="00B334B8">
      <w:pPr>
        <w:widowControl/>
        <w:ind w:firstLine="360"/>
        <w:rPr>
          <w:rFonts w:ascii="Times New Roman"/>
          <w:szCs w:val="20"/>
        </w:rPr>
      </w:pPr>
    </w:p>
    <w:p w14:paraId="1CC6A891" w14:textId="06FBB809" w:rsidR="00DD3977" w:rsidRPr="007B157F" w:rsidRDefault="00CD0823" w:rsidP="00DD3977">
      <w:pPr>
        <w:pStyle w:val="af4"/>
        <w:widowControl/>
        <w:numPr>
          <w:ilvl w:val="1"/>
          <w:numId w:val="15"/>
        </w:numPr>
        <w:spacing w:after="120"/>
        <w:ind w:leftChars="0" w:left="392" w:hangingChars="178" w:hanging="392"/>
        <w:rPr>
          <w:rFonts w:ascii="Times New Roman"/>
          <w:sz w:val="22"/>
          <w:szCs w:val="20"/>
        </w:rPr>
      </w:pPr>
      <w:r>
        <w:rPr>
          <w:rFonts w:ascii="Times New Roman"/>
          <w:sz w:val="22"/>
          <w:szCs w:val="20"/>
        </w:rPr>
        <w:t>Sidelink beam management for FR2</w:t>
      </w:r>
    </w:p>
    <w:p w14:paraId="3B344F29" w14:textId="77777777" w:rsidR="00020D1A" w:rsidRDefault="00020D1A" w:rsidP="00B334B8">
      <w:pPr>
        <w:widowControl/>
        <w:ind w:firstLine="360"/>
        <w:rPr>
          <w:rFonts w:ascii="Times New Roman"/>
          <w:szCs w:val="20"/>
        </w:rPr>
      </w:pPr>
      <w:r>
        <w:rPr>
          <w:rFonts w:ascii="Times New Roman"/>
          <w:szCs w:val="20"/>
        </w:rPr>
        <w:t>Rel-18 is progressing a study on sidelink beam management with the following objective:</w:t>
      </w:r>
    </w:p>
    <w:tbl>
      <w:tblPr>
        <w:tblStyle w:val="aa"/>
        <w:tblW w:w="0" w:type="auto"/>
        <w:tblLook w:val="04A0" w:firstRow="1" w:lastRow="0" w:firstColumn="1" w:lastColumn="0" w:noHBand="0" w:noVBand="1"/>
      </w:tblPr>
      <w:tblGrid>
        <w:gridCol w:w="9362"/>
      </w:tblGrid>
      <w:tr w:rsidR="00020D1A" w14:paraId="3936875D" w14:textId="77777777" w:rsidTr="00020D1A">
        <w:tc>
          <w:tcPr>
            <w:tcW w:w="9362" w:type="dxa"/>
          </w:tcPr>
          <w:p w14:paraId="357F1651" w14:textId="77777777" w:rsidR="00020D1A" w:rsidRPr="00420B53" w:rsidRDefault="00020D1A" w:rsidP="00020D1A">
            <w:pPr>
              <w:widowControl/>
              <w:numPr>
                <w:ilvl w:val="0"/>
                <w:numId w:val="40"/>
              </w:numPr>
              <w:wordWrap/>
              <w:overflowPunct w:val="0"/>
              <w:adjustRightInd w:val="0"/>
              <w:spacing w:before="120"/>
              <w:jc w:val="left"/>
              <w:textAlignment w:val="baseline"/>
              <w:rPr>
                <w:rFonts w:ascii="Times" w:hAnsi="Times" w:cs="Times"/>
              </w:rPr>
            </w:pPr>
            <w:bookmarkStart w:id="3" w:name="_Hlk89917254"/>
            <w:r w:rsidRPr="00420B53">
              <w:rPr>
                <w:rFonts w:ascii="Times" w:hAnsi="Times" w:cs="Times"/>
                <w:iCs/>
              </w:rPr>
              <w:t>Study enhanced sidelink operation on FR2 licensed spectrum [RAN1, RAN2]</w:t>
            </w:r>
            <w:bookmarkEnd w:id="3"/>
            <w:r>
              <w:rPr>
                <w:rFonts w:ascii="Times" w:hAnsi="Times" w:cs="Times"/>
                <w:iCs/>
              </w:rPr>
              <w:t xml:space="preserve"> (Determine in RAN#98-e whether to continue the study or study + specification work for FR2 until the end of R18)</w:t>
            </w:r>
          </w:p>
          <w:p w14:paraId="6787FAF7" w14:textId="77777777" w:rsidR="00020D1A" w:rsidRPr="0088723B" w:rsidRDefault="00020D1A" w:rsidP="00020D1A">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4" w:name="_Hlk89917271"/>
            <w:r>
              <w:rPr>
                <w:rFonts w:ascii="Times" w:hAnsi="Times" w:cs="Times"/>
              </w:rPr>
              <w:t>Focus only on updating the e</w:t>
            </w:r>
            <w:r w:rsidRPr="00420B53">
              <w:rPr>
                <w:rFonts w:ascii="Times" w:hAnsi="Times" w:cs="Times"/>
              </w:rPr>
              <w:t xml:space="preserve">valuation methodology for </w:t>
            </w:r>
            <w:r>
              <w:rPr>
                <w:rFonts w:ascii="Times" w:hAnsi="Times" w:cs="Times"/>
              </w:rPr>
              <w:t>commercial deployment scenario</w:t>
            </w:r>
            <w:bookmarkEnd w:id="4"/>
            <w:r>
              <w:rPr>
                <w:rFonts w:ascii="Times" w:hAnsi="Times" w:cs="Times"/>
              </w:rPr>
              <w:t xml:space="preserve"> in 4Q 2022. [RAN1]</w:t>
            </w:r>
          </w:p>
          <w:p w14:paraId="66B3B1E4" w14:textId="77777777" w:rsidR="00020D1A" w:rsidRPr="005F1EAA" w:rsidRDefault="00020D1A" w:rsidP="00020D1A">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5" w:name="_Hlk89917283"/>
            <w:r>
              <w:rPr>
                <w:rFonts w:ascii="Times" w:hAnsi="Times" w:cs="Times"/>
                <w:iCs/>
              </w:rPr>
              <w:t>Study</w:t>
            </w:r>
            <w:r w:rsidRPr="006D68C5">
              <w:rPr>
                <w:rFonts w:ascii="Times" w:hAnsi="Times" w:cs="Times"/>
                <w:iCs/>
              </w:rPr>
              <w:t xml:space="preserve"> is limited to the support of sidelink beam management (including initial beam-pairing, beam maintenance, and beam failure recovery</w:t>
            </w:r>
            <w:r>
              <w:rPr>
                <w:rFonts w:ascii="Times" w:hAnsi="Times" w:cs="Times"/>
                <w:iCs/>
              </w:rPr>
              <w:t>, etc</w:t>
            </w:r>
            <w:r w:rsidRPr="006D68C5">
              <w:rPr>
                <w:rFonts w:ascii="Times" w:hAnsi="Times" w:cs="Times"/>
                <w:iCs/>
              </w:rPr>
              <w:t xml:space="preserve">) by </w:t>
            </w:r>
            <w:r>
              <w:rPr>
                <w:rFonts w:ascii="Times" w:hAnsi="Times" w:cs="Times"/>
                <w:iCs/>
              </w:rPr>
              <w:t>reusing</w:t>
            </w:r>
            <w:r w:rsidRPr="006D68C5">
              <w:rPr>
                <w:rFonts w:ascii="Times" w:hAnsi="Times" w:cs="Times"/>
                <w:iCs/>
              </w:rPr>
              <w:t xml:space="preserve"> existing sidelink CSI framework and reusing Uu beam management concepts wherever possib</w:t>
            </w:r>
            <w:r w:rsidRPr="006C3106">
              <w:rPr>
                <w:rFonts w:ascii="Times" w:hAnsi="Times" w:cs="Times"/>
                <w:iCs/>
              </w:rPr>
              <w:t>le.</w:t>
            </w:r>
            <w:bookmarkEnd w:id="5"/>
            <w:r>
              <w:rPr>
                <w:rFonts w:ascii="Times" w:hAnsi="Times" w:cs="Times"/>
                <w:iCs/>
              </w:rPr>
              <w:t xml:space="preserve"> [RAN1, RAN2]</w:t>
            </w:r>
          </w:p>
          <w:p w14:paraId="5FCF9290" w14:textId="7EE42500" w:rsidR="00020D1A" w:rsidRPr="00020D1A" w:rsidRDefault="00020D1A" w:rsidP="00020D1A">
            <w:pPr>
              <w:widowControl/>
              <w:numPr>
                <w:ilvl w:val="1"/>
                <w:numId w:val="33"/>
              </w:numPr>
              <w:wordWrap/>
              <w:overflowPunct w:val="0"/>
              <w:adjustRightInd w:val="0"/>
              <w:spacing w:before="60" w:after="60"/>
              <w:jc w:val="left"/>
              <w:textAlignment w:val="baseline"/>
              <w:rPr>
                <w:rFonts w:ascii="Times" w:hAnsi="Times" w:cs="Times"/>
              </w:rPr>
            </w:pPr>
            <w:bookmarkStart w:id="6" w:name="_Hlk89917309"/>
            <w:r>
              <w:rPr>
                <w:rFonts w:ascii="Times" w:hAnsi="Times" w:cs="Times"/>
              </w:rPr>
              <w:t>Beam management in FR2 licensed spectrum considers sidelink unicast communication only.</w:t>
            </w:r>
            <w:bookmarkEnd w:id="6"/>
          </w:p>
        </w:tc>
      </w:tr>
    </w:tbl>
    <w:p w14:paraId="4F395EAF" w14:textId="77777777" w:rsidR="00020D1A" w:rsidRDefault="00020D1A" w:rsidP="00020D1A">
      <w:pPr>
        <w:widowControl/>
        <w:rPr>
          <w:rFonts w:ascii="Times New Roman"/>
          <w:szCs w:val="20"/>
        </w:rPr>
      </w:pPr>
    </w:p>
    <w:p w14:paraId="4ED8FBE5" w14:textId="7044BE91" w:rsidR="00020D1A" w:rsidRDefault="00020D1A" w:rsidP="00B334B8">
      <w:pPr>
        <w:widowControl/>
        <w:ind w:firstLine="360"/>
        <w:rPr>
          <w:rFonts w:ascii="Times New Roman"/>
          <w:szCs w:val="20"/>
        </w:rPr>
      </w:pPr>
      <w:r>
        <w:rPr>
          <w:rFonts w:ascii="Times New Roman"/>
          <w:szCs w:val="20"/>
        </w:rPr>
        <w:t xml:space="preserve">Following the study outcome, normative work for </w:t>
      </w:r>
      <w:r>
        <w:rPr>
          <w:rFonts w:ascii="Times New Roman" w:hint="eastAsia"/>
          <w:szCs w:val="20"/>
        </w:rPr>
        <w:t xml:space="preserve">sidelink FR2 is a natural </w:t>
      </w:r>
      <w:r>
        <w:rPr>
          <w:rFonts w:ascii="Times New Roman"/>
          <w:szCs w:val="20"/>
        </w:rPr>
        <w:t xml:space="preserve">step in Rel-19 as a means to support high data rate direct communication between two closely located devices. Such a need was indicated from the automotive perspective [e.g., 4 (indicated the need for unlicensed spectrum support as well)] in Rel-19 RAN workshop. It is noteworthy that </w:t>
      </w:r>
      <w:r w:rsidR="00655440">
        <w:rPr>
          <w:rFonts w:ascii="Times New Roman"/>
          <w:szCs w:val="20"/>
        </w:rPr>
        <w:t xml:space="preserve">there is considerable commercial interest in using such communication, and an example is wireless audio and video transmission from </w:t>
      </w:r>
      <w:r w:rsidR="000B742A">
        <w:rPr>
          <w:rFonts w:ascii="Times New Roman"/>
          <w:szCs w:val="20"/>
        </w:rPr>
        <w:t>a connection</w:t>
      </w:r>
      <w:r w:rsidR="00655440">
        <w:rPr>
          <w:rFonts w:ascii="Times New Roman"/>
          <w:szCs w:val="20"/>
        </w:rPr>
        <w:t xml:space="preserve"> box to </w:t>
      </w:r>
      <w:r w:rsidR="000B742A">
        <w:rPr>
          <w:rFonts w:ascii="Times New Roman"/>
          <w:szCs w:val="20"/>
        </w:rPr>
        <w:t xml:space="preserve">a </w:t>
      </w:r>
      <w:bookmarkStart w:id="7" w:name="_GoBack"/>
      <w:bookmarkEnd w:id="7"/>
      <w:r w:rsidR="00655440">
        <w:rPr>
          <w:rFonts w:ascii="Times New Roman"/>
          <w:szCs w:val="20"/>
        </w:rPr>
        <w:t xml:space="preserve">TV </w:t>
      </w:r>
      <w:r w:rsidR="00123F41">
        <w:rPr>
          <w:rFonts w:ascii="Times New Roman"/>
          <w:szCs w:val="20"/>
        </w:rPr>
        <w:t xml:space="preserve">display </w:t>
      </w:r>
      <w:r w:rsidR="00655440">
        <w:rPr>
          <w:rFonts w:ascii="Times New Roman"/>
          <w:szCs w:val="20"/>
        </w:rPr>
        <w:t xml:space="preserve">using 60 GHz unlicensed spectrum </w:t>
      </w:r>
      <w:r w:rsidR="00123F41">
        <w:rPr>
          <w:rFonts w:ascii="Times New Roman"/>
          <w:szCs w:val="20"/>
        </w:rPr>
        <w:t xml:space="preserve">which has been showcased in </w:t>
      </w:r>
      <w:r w:rsidR="00494D63">
        <w:rPr>
          <w:rFonts w:ascii="Times New Roman"/>
          <w:szCs w:val="20"/>
        </w:rPr>
        <w:t>CES2023</w:t>
      </w:r>
      <w:r w:rsidR="00123F41">
        <w:rPr>
          <w:rFonts w:ascii="Times New Roman"/>
          <w:szCs w:val="20"/>
        </w:rPr>
        <w:t xml:space="preserve"> </w:t>
      </w:r>
      <w:r w:rsidR="00655440">
        <w:rPr>
          <w:rFonts w:ascii="Times New Roman"/>
          <w:szCs w:val="20"/>
        </w:rPr>
        <w:t>[6</w:t>
      </w:r>
      <w:r w:rsidR="000B742A">
        <w:rPr>
          <w:rFonts w:ascii="Times New Roman"/>
          <w:szCs w:val="20"/>
        </w:rPr>
        <w:t>, 7</w:t>
      </w:r>
      <w:r w:rsidR="00655440">
        <w:rPr>
          <w:rFonts w:ascii="Times New Roman"/>
          <w:szCs w:val="20"/>
        </w:rPr>
        <w:t>].</w:t>
      </w:r>
    </w:p>
    <w:p w14:paraId="66F23118" w14:textId="5136FE3D" w:rsidR="00020D1A" w:rsidRDefault="00655440" w:rsidP="00B334B8">
      <w:pPr>
        <w:widowControl/>
        <w:ind w:firstLine="360"/>
        <w:rPr>
          <w:rFonts w:ascii="Times New Roman"/>
          <w:szCs w:val="20"/>
        </w:rPr>
      </w:pPr>
      <w:r>
        <w:rPr>
          <w:rFonts w:ascii="Times New Roman" w:hint="eastAsia"/>
          <w:szCs w:val="20"/>
        </w:rPr>
        <w:t>In terms of the work scope, Rel-18 study outcome should be the starting point, i.e.,</w:t>
      </w:r>
      <w:r>
        <w:rPr>
          <w:rFonts w:ascii="Times New Roman"/>
          <w:szCs w:val="20"/>
        </w:rPr>
        <w:t xml:space="preserve"> specifying </w:t>
      </w:r>
      <w:r w:rsidR="00020D1A">
        <w:rPr>
          <w:rFonts w:ascii="Times New Roman" w:hint="eastAsia"/>
          <w:szCs w:val="20"/>
        </w:rPr>
        <w:t>sidelink beam management</w:t>
      </w:r>
      <w:r>
        <w:rPr>
          <w:rFonts w:ascii="Times New Roman"/>
          <w:szCs w:val="20"/>
        </w:rPr>
        <w:t>,</w:t>
      </w:r>
      <w:r w:rsidR="00020D1A">
        <w:rPr>
          <w:rFonts w:ascii="Times New Roman" w:hint="eastAsia"/>
          <w:szCs w:val="20"/>
        </w:rPr>
        <w:t xml:space="preserve"> including initial beam pairing, beam </w:t>
      </w:r>
      <w:r w:rsidR="00020D1A">
        <w:rPr>
          <w:rFonts w:ascii="Times New Roman"/>
          <w:szCs w:val="20"/>
        </w:rPr>
        <w:t>maintenance</w:t>
      </w:r>
      <w:r w:rsidR="00020D1A">
        <w:rPr>
          <w:rFonts w:ascii="Times New Roman" w:hint="eastAsia"/>
          <w:szCs w:val="20"/>
        </w:rPr>
        <w:t>,</w:t>
      </w:r>
      <w:r w:rsidR="00020D1A">
        <w:rPr>
          <w:rFonts w:ascii="Times New Roman"/>
          <w:szCs w:val="20"/>
        </w:rPr>
        <w:t xml:space="preserve"> and beam failure recovery, </w:t>
      </w:r>
      <w:r>
        <w:rPr>
          <w:rFonts w:ascii="Times New Roman"/>
          <w:szCs w:val="20"/>
        </w:rPr>
        <w:t xml:space="preserve">will be the main objective. Considering the market needs discussed above, sidelink operation in FR2 needs to target both FR2-1 and FR2-2; but it should be clarified that the specification needs to be flexible enough so that sidelink beam management can be naturally supported in FR1 as well. If Rel-19 supports FR1+FR2 sidelink CA, use of FR1 for the relevant signaling should be supported as it has a potential to reduce the beam management overhead and latency significantly with marginal specification impact. In addition to this, as discussed in related RAN1 discussion, the impact of sidelink beam management on the resource allocation can be studied and, if necessary, some enhancements can be specified. </w:t>
      </w:r>
    </w:p>
    <w:p w14:paraId="7C5D20E6" w14:textId="5F423CFB" w:rsidR="00487F1D" w:rsidRDefault="00655440" w:rsidP="00B334B8">
      <w:pPr>
        <w:widowControl/>
        <w:ind w:firstLine="360"/>
        <w:rPr>
          <w:rFonts w:ascii="Times New Roman"/>
          <w:szCs w:val="20"/>
        </w:rPr>
      </w:pPr>
      <w:r>
        <w:rPr>
          <w:rFonts w:ascii="Times New Roman" w:hint="eastAsia"/>
          <w:szCs w:val="20"/>
        </w:rPr>
        <w:t xml:space="preserve">This work can also consider some restrictions to reduce the work load. </w:t>
      </w:r>
      <w:r>
        <w:rPr>
          <w:rFonts w:ascii="Times New Roman"/>
          <w:szCs w:val="20"/>
        </w:rPr>
        <w:t>An example is targeting unicast only, but in this case, un-optimized groupcast/broadcast (e.g., transmission repetition with UE-implementation-based beam sweeping without sidelink HARQ feedback) needs to be supported in the specification in order to address potential requirements for it (e.g., UE discovery transmission).</w:t>
      </w:r>
      <w:r w:rsidR="009012D0">
        <w:rPr>
          <w:rFonts w:ascii="Times New Roman"/>
          <w:szCs w:val="20"/>
        </w:rPr>
        <w:t xml:space="preserve"> Another example is about the sensing at the gNB in the unlicensed band operation, and Rel-18 assumption “</w:t>
      </w:r>
      <w:r w:rsidR="009012D0">
        <w:rPr>
          <w:rFonts w:ascii="Times" w:hAnsi="Times" w:cs="Times"/>
        </w:rPr>
        <w:t>I</w:t>
      </w:r>
      <w:r w:rsidR="009012D0" w:rsidRPr="00914F54">
        <w:rPr>
          <w:rFonts w:ascii="Times" w:hAnsi="Times" w:cs="Times"/>
        </w:rPr>
        <w:t xml:space="preserve">n sidelink unlicensed operation, the gNB does not perform Type 1 </w:t>
      </w:r>
      <w:r w:rsidR="009012D0">
        <w:rPr>
          <w:rFonts w:ascii="Times" w:hAnsi="Times" w:cs="Times"/>
        </w:rPr>
        <w:t xml:space="preserve">channel access </w:t>
      </w:r>
      <w:r w:rsidR="009012D0" w:rsidRPr="00914F54">
        <w:rPr>
          <w:rFonts w:ascii="Times" w:hAnsi="Times" w:cs="Times"/>
        </w:rPr>
        <w:t xml:space="preserve">to initiate and share a channel occupancy, neither Type 2 </w:t>
      </w:r>
      <w:r w:rsidR="009012D0">
        <w:rPr>
          <w:rFonts w:ascii="Times" w:hAnsi="Times" w:cs="Times"/>
        </w:rPr>
        <w:t xml:space="preserve">channel access </w:t>
      </w:r>
      <w:r w:rsidR="009012D0" w:rsidRPr="00914F54">
        <w:rPr>
          <w:rFonts w:ascii="Times" w:hAnsi="Times" w:cs="Times"/>
        </w:rPr>
        <w:t>to share an initiated channel occupancy, nor semi-static channel access procedures to access an unlicensed channel.</w:t>
      </w:r>
      <w:r w:rsidR="009012D0">
        <w:rPr>
          <w:rFonts w:ascii="Times New Roman"/>
          <w:szCs w:val="20"/>
        </w:rPr>
        <w:t>” needs to be kept because no related enhancements would be considered even for FR1 in Rel-19.</w:t>
      </w:r>
    </w:p>
    <w:p w14:paraId="5E188D95" w14:textId="77777777" w:rsidR="00B50BC9" w:rsidRPr="00524341" w:rsidRDefault="00B50BC9" w:rsidP="00524341">
      <w:pPr>
        <w:widowControl/>
        <w:ind w:firstLine="360"/>
        <w:rPr>
          <w:rFonts w:ascii="Times New Roman"/>
          <w:szCs w:val="20"/>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lastRenderedPageBreak/>
        <w:t>Conclusion</w:t>
      </w:r>
    </w:p>
    <w:p w14:paraId="50791699" w14:textId="4ECC00F3" w:rsidR="00166A4C"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sidR="00166A4C">
        <w:rPr>
          <w:rFonts w:ascii="Times New Roman"/>
          <w:szCs w:val="20"/>
        </w:rPr>
        <w:t>possible scope of a potential Rel-19 sidelink evolution WI. It is proposed to consider the justification and scope summarized as follows:</w:t>
      </w:r>
    </w:p>
    <w:p w14:paraId="2FCCBDA4" w14:textId="3B96C628" w:rsidR="00166A4C" w:rsidRDefault="00166A4C" w:rsidP="00166A4C">
      <w:pPr>
        <w:pStyle w:val="af4"/>
        <w:widowControl/>
        <w:numPr>
          <w:ilvl w:val="0"/>
          <w:numId w:val="39"/>
        </w:numPr>
        <w:spacing w:after="0" w:line="240" w:lineRule="auto"/>
        <w:ind w:leftChars="0"/>
        <w:rPr>
          <w:rFonts w:ascii="Times New Roman"/>
          <w:szCs w:val="20"/>
        </w:rPr>
      </w:pPr>
      <w:r>
        <w:rPr>
          <w:rFonts w:ascii="Times New Roman"/>
          <w:szCs w:val="20"/>
        </w:rPr>
        <w:t>Justification</w:t>
      </w:r>
    </w:p>
    <w:p w14:paraId="32106F9E" w14:textId="48898B2B" w:rsidR="00166A4C" w:rsidRDefault="00E271FA" w:rsidP="00166A4C">
      <w:pPr>
        <w:pStyle w:val="af4"/>
        <w:widowControl/>
        <w:numPr>
          <w:ilvl w:val="1"/>
          <w:numId w:val="39"/>
        </w:numPr>
        <w:spacing w:after="0" w:line="240" w:lineRule="auto"/>
        <w:ind w:leftChars="0"/>
        <w:rPr>
          <w:rFonts w:ascii="Times New Roman"/>
          <w:szCs w:val="20"/>
        </w:rPr>
      </w:pPr>
      <w:r>
        <w:rPr>
          <w:rFonts w:ascii="Times New Roman" w:hint="eastAsia"/>
          <w:szCs w:val="20"/>
        </w:rPr>
        <w:t>ITS use cases</w:t>
      </w:r>
    </w:p>
    <w:p w14:paraId="4E0247CE" w14:textId="46937E42" w:rsidR="00E271FA" w:rsidRDefault="00E271FA" w:rsidP="00E271FA">
      <w:pPr>
        <w:pStyle w:val="af4"/>
        <w:widowControl/>
        <w:numPr>
          <w:ilvl w:val="2"/>
          <w:numId w:val="39"/>
        </w:numPr>
        <w:spacing w:after="0" w:line="240" w:lineRule="auto"/>
        <w:ind w:leftChars="0"/>
        <w:rPr>
          <w:rFonts w:ascii="Times New Roman"/>
          <w:szCs w:val="20"/>
        </w:rPr>
      </w:pPr>
      <w:r>
        <w:rPr>
          <w:rFonts w:ascii="Times New Roman"/>
          <w:szCs w:val="20"/>
        </w:rPr>
        <w:t>Completion of sidelink CA work to make NR sideline comparable to LTE V2X specified in Rel-15 [e.g., 2, 3, 4]</w:t>
      </w:r>
    </w:p>
    <w:p w14:paraId="235F7DF9" w14:textId="749F157F" w:rsidR="00E271FA" w:rsidRDefault="00E271FA" w:rsidP="00E271FA">
      <w:pPr>
        <w:pStyle w:val="af4"/>
        <w:widowControl/>
        <w:numPr>
          <w:ilvl w:val="1"/>
          <w:numId w:val="39"/>
        </w:numPr>
        <w:spacing w:after="0" w:line="240" w:lineRule="auto"/>
        <w:ind w:leftChars="0"/>
        <w:rPr>
          <w:rFonts w:ascii="Times New Roman"/>
          <w:szCs w:val="20"/>
        </w:rPr>
      </w:pPr>
      <w:r>
        <w:rPr>
          <w:rFonts w:ascii="Times New Roman"/>
          <w:szCs w:val="20"/>
        </w:rPr>
        <w:t>Public safety use cases</w:t>
      </w:r>
    </w:p>
    <w:p w14:paraId="217084B0" w14:textId="43C56CF4" w:rsidR="00E271FA" w:rsidRDefault="00E271FA" w:rsidP="00E271FA">
      <w:pPr>
        <w:pStyle w:val="af4"/>
        <w:widowControl/>
        <w:numPr>
          <w:ilvl w:val="2"/>
          <w:numId w:val="39"/>
        </w:numPr>
        <w:spacing w:after="0" w:line="240" w:lineRule="auto"/>
        <w:ind w:leftChars="0"/>
        <w:rPr>
          <w:rFonts w:ascii="Times New Roman"/>
          <w:szCs w:val="20"/>
        </w:rPr>
      </w:pPr>
      <w:r>
        <w:rPr>
          <w:rFonts w:ascii="Times New Roman"/>
          <w:szCs w:val="20"/>
        </w:rPr>
        <w:t>Sidelink CA for wider bandwidth [e.g., 5]</w:t>
      </w:r>
    </w:p>
    <w:p w14:paraId="1F0FFF64" w14:textId="5D950275" w:rsidR="00E271FA" w:rsidRDefault="00E271FA" w:rsidP="00E271FA">
      <w:pPr>
        <w:pStyle w:val="af4"/>
        <w:widowControl/>
        <w:numPr>
          <w:ilvl w:val="1"/>
          <w:numId w:val="39"/>
        </w:numPr>
        <w:spacing w:after="0" w:line="240" w:lineRule="auto"/>
        <w:ind w:leftChars="0"/>
        <w:rPr>
          <w:rFonts w:ascii="Times New Roman"/>
          <w:szCs w:val="20"/>
        </w:rPr>
      </w:pPr>
      <w:r>
        <w:rPr>
          <w:rFonts w:ascii="Times New Roman"/>
          <w:szCs w:val="20"/>
        </w:rPr>
        <w:t>Commercial use cases</w:t>
      </w:r>
    </w:p>
    <w:p w14:paraId="07F1AD60" w14:textId="5A1CF9D7" w:rsidR="00E271FA" w:rsidRDefault="00E271FA" w:rsidP="00E271FA">
      <w:pPr>
        <w:pStyle w:val="af4"/>
        <w:widowControl/>
        <w:numPr>
          <w:ilvl w:val="2"/>
          <w:numId w:val="39"/>
        </w:numPr>
        <w:spacing w:after="0" w:line="240" w:lineRule="auto"/>
        <w:ind w:leftChars="0"/>
        <w:rPr>
          <w:rFonts w:ascii="Times New Roman"/>
          <w:szCs w:val="20"/>
        </w:rPr>
      </w:pPr>
      <w:r>
        <w:rPr>
          <w:rFonts w:ascii="Times New Roman"/>
          <w:szCs w:val="20"/>
        </w:rPr>
        <w:t>Sidelink FR2 for high rate direct inter-device communication [e.g., 4, 6]</w:t>
      </w:r>
    </w:p>
    <w:p w14:paraId="5BEE2562" w14:textId="44598100" w:rsidR="00E271FA" w:rsidRDefault="00E271FA" w:rsidP="00E271FA">
      <w:pPr>
        <w:pStyle w:val="af4"/>
        <w:widowControl/>
        <w:numPr>
          <w:ilvl w:val="2"/>
          <w:numId w:val="39"/>
        </w:numPr>
        <w:spacing w:after="0" w:line="240" w:lineRule="auto"/>
        <w:ind w:leftChars="0"/>
        <w:rPr>
          <w:rFonts w:ascii="Times New Roman"/>
          <w:szCs w:val="20"/>
        </w:rPr>
      </w:pPr>
      <w:r>
        <w:rPr>
          <w:rFonts w:ascii="Times New Roman"/>
          <w:szCs w:val="20"/>
        </w:rPr>
        <w:t>Sidelink CA to facilitate sidelink operations in various frequency bands</w:t>
      </w:r>
    </w:p>
    <w:p w14:paraId="323E2FAC" w14:textId="26098E9C" w:rsidR="00166A4C" w:rsidRDefault="00166A4C" w:rsidP="00166A4C">
      <w:pPr>
        <w:pStyle w:val="af4"/>
        <w:widowControl/>
        <w:numPr>
          <w:ilvl w:val="0"/>
          <w:numId w:val="39"/>
        </w:numPr>
        <w:spacing w:after="0" w:line="240" w:lineRule="auto"/>
        <w:ind w:leftChars="0"/>
        <w:rPr>
          <w:rFonts w:ascii="Times New Roman"/>
          <w:szCs w:val="20"/>
        </w:rPr>
      </w:pPr>
      <w:r>
        <w:rPr>
          <w:rFonts w:ascii="Times New Roman" w:hint="eastAsia"/>
          <w:szCs w:val="20"/>
        </w:rPr>
        <w:t>WI scope</w:t>
      </w:r>
    </w:p>
    <w:p w14:paraId="23023074" w14:textId="32D7BECF" w:rsidR="00166A4C" w:rsidRDefault="00166A4C" w:rsidP="00166A4C">
      <w:pPr>
        <w:pStyle w:val="af4"/>
        <w:widowControl/>
        <w:numPr>
          <w:ilvl w:val="1"/>
          <w:numId w:val="39"/>
        </w:numPr>
        <w:spacing w:after="0" w:line="240" w:lineRule="auto"/>
        <w:ind w:leftChars="0"/>
        <w:rPr>
          <w:rFonts w:ascii="Times New Roman"/>
          <w:szCs w:val="20"/>
        </w:rPr>
      </w:pPr>
      <w:r>
        <w:rPr>
          <w:rFonts w:ascii="Times New Roman"/>
          <w:szCs w:val="20"/>
        </w:rPr>
        <w:t>Sidelink carrier aggregation enhancements</w:t>
      </w:r>
    </w:p>
    <w:p w14:paraId="16917872" w14:textId="65C659EB" w:rsidR="00166A4C" w:rsidRDefault="00166A4C" w:rsidP="00166A4C">
      <w:pPr>
        <w:pStyle w:val="af4"/>
        <w:widowControl/>
        <w:numPr>
          <w:ilvl w:val="2"/>
          <w:numId w:val="39"/>
        </w:numPr>
        <w:spacing w:after="0" w:line="240" w:lineRule="auto"/>
        <w:ind w:leftChars="0"/>
        <w:rPr>
          <w:rFonts w:ascii="Times New Roman"/>
          <w:szCs w:val="20"/>
        </w:rPr>
      </w:pPr>
      <w:r>
        <w:rPr>
          <w:rFonts w:ascii="Times New Roman"/>
          <w:szCs w:val="20"/>
        </w:rPr>
        <w:t>Mode 1 support</w:t>
      </w:r>
    </w:p>
    <w:p w14:paraId="05748888" w14:textId="1AD5F026" w:rsidR="00166A4C" w:rsidRDefault="00166A4C" w:rsidP="00166A4C">
      <w:pPr>
        <w:pStyle w:val="af4"/>
        <w:widowControl/>
        <w:numPr>
          <w:ilvl w:val="2"/>
          <w:numId w:val="39"/>
        </w:numPr>
        <w:spacing w:after="0" w:line="240" w:lineRule="auto"/>
        <w:ind w:leftChars="0"/>
        <w:rPr>
          <w:rFonts w:ascii="Times New Roman"/>
          <w:szCs w:val="20"/>
        </w:rPr>
      </w:pPr>
      <w:r>
        <w:rPr>
          <w:rFonts w:ascii="Times New Roman"/>
          <w:szCs w:val="20"/>
        </w:rPr>
        <w:t>Handling limited transmission capability, by reusing the LTE solution</w:t>
      </w:r>
    </w:p>
    <w:p w14:paraId="36FCC9C9" w14:textId="2EB21EC8" w:rsidR="00166A4C" w:rsidRDefault="00166A4C" w:rsidP="00166A4C">
      <w:pPr>
        <w:pStyle w:val="af4"/>
        <w:widowControl/>
        <w:numPr>
          <w:ilvl w:val="3"/>
          <w:numId w:val="39"/>
        </w:numPr>
        <w:spacing w:after="0" w:line="240" w:lineRule="auto"/>
        <w:ind w:leftChars="0"/>
        <w:rPr>
          <w:rFonts w:ascii="Times New Roman"/>
          <w:szCs w:val="20"/>
        </w:rPr>
      </w:pPr>
      <w:r>
        <w:rPr>
          <w:rFonts w:ascii="Times New Roman"/>
          <w:szCs w:val="20"/>
        </w:rPr>
        <w:t>This includes sidelink HARQ feedback enhancement to handle the reception of PSCCH/PSSCH in a carrier in which the RX UE has no TX capability.</w:t>
      </w:r>
    </w:p>
    <w:p w14:paraId="0253B5CD" w14:textId="553B9749" w:rsidR="00166A4C" w:rsidRDefault="00B24B38" w:rsidP="00166A4C">
      <w:pPr>
        <w:pStyle w:val="af4"/>
        <w:widowControl/>
        <w:numPr>
          <w:ilvl w:val="3"/>
          <w:numId w:val="39"/>
        </w:numPr>
        <w:spacing w:after="0" w:line="240" w:lineRule="auto"/>
        <w:ind w:leftChars="0"/>
        <w:rPr>
          <w:rFonts w:ascii="Times New Roman"/>
          <w:szCs w:val="20"/>
        </w:rPr>
      </w:pPr>
      <w:r>
        <w:rPr>
          <w:rFonts w:ascii="Times New Roman"/>
          <w:szCs w:val="20"/>
        </w:rPr>
        <w:t xml:space="preserve">The </w:t>
      </w:r>
      <w:r w:rsidR="00166A4C">
        <w:rPr>
          <w:rFonts w:ascii="Times New Roman"/>
          <w:szCs w:val="20"/>
        </w:rPr>
        <w:t xml:space="preserve">Rel-18 assumption </w:t>
      </w:r>
      <w:r w:rsidR="00166A4C">
        <w:rPr>
          <w:rFonts w:ascii="Times New Roman"/>
          <w:szCs w:val="20"/>
        </w:rPr>
        <w:t>“</w:t>
      </w:r>
      <w:r w:rsidR="00166A4C" w:rsidRPr="00166A4C">
        <w:rPr>
          <w:rFonts w:ascii="Times New Roman"/>
          <w:szCs w:val="20"/>
        </w:rPr>
        <w:t>SL resource indication remains to be per-resource pool and per-carrier basis (no cross-carrier scheduling in SCI)</w:t>
      </w:r>
      <w:r w:rsidR="00166A4C">
        <w:rPr>
          <w:rFonts w:ascii="Times New Roman"/>
          <w:szCs w:val="20"/>
        </w:rPr>
        <w:t>”</w:t>
      </w:r>
      <w:r w:rsidR="00166A4C">
        <w:rPr>
          <w:rFonts w:ascii="Times New Roman"/>
          <w:szCs w:val="20"/>
        </w:rPr>
        <w:t xml:space="preserve"> is kept.</w:t>
      </w:r>
    </w:p>
    <w:p w14:paraId="5AFC2C0A" w14:textId="02D77FAF" w:rsidR="00B24B38" w:rsidRDefault="00B24B38" w:rsidP="00B24B38">
      <w:pPr>
        <w:pStyle w:val="af4"/>
        <w:widowControl/>
        <w:numPr>
          <w:ilvl w:val="2"/>
          <w:numId w:val="39"/>
        </w:numPr>
        <w:spacing w:after="0" w:line="240" w:lineRule="auto"/>
        <w:ind w:leftChars="0"/>
        <w:rPr>
          <w:rFonts w:ascii="Times New Roman"/>
          <w:szCs w:val="20"/>
        </w:rPr>
      </w:pPr>
      <w:r>
        <w:rPr>
          <w:rFonts w:ascii="Times New Roman"/>
          <w:szCs w:val="20"/>
        </w:rPr>
        <w:t>Support of new band combinations, including</w:t>
      </w:r>
    </w:p>
    <w:p w14:paraId="1732619D" w14:textId="5B89F092" w:rsidR="00B24B38" w:rsidRDefault="00B24B38" w:rsidP="00B24B38">
      <w:pPr>
        <w:pStyle w:val="af4"/>
        <w:widowControl/>
        <w:numPr>
          <w:ilvl w:val="3"/>
          <w:numId w:val="39"/>
        </w:numPr>
        <w:spacing w:after="0" w:line="240" w:lineRule="auto"/>
        <w:ind w:leftChars="0"/>
        <w:rPr>
          <w:rFonts w:ascii="Times New Roman"/>
          <w:szCs w:val="20"/>
        </w:rPr>
      </w:pPr>
      <w:r>
        <w:rPr>
          <w:rFonts w:ascii="Times New Roman"/>
          <w:szCs w:val="20"/>
        </w:rPr>
        <w:t>Aggregation of carriers other than those in n47, including unlicensed band carriers</w:t>
      </w:r>
    </w:p>
    <w:p w14:paraId="204A002B" w14:textId="7320C129" w:rsidR="00B24B38" w:rsidRDefault="00B24B38" w:rsidP="00B24B38">
      <w:pPr>
        <w:pStyle w:val="af4"/>
        <w:widowControl/>
        <w:numPr>
          <w:ilvl w:val="3"/>
          <w:numId w:val="39"/>
        </w:numPr>
        <w:spacing w:after="0" w:line="240" w:lineRule="auto"/>
        <w:ind w:leftChars="0"/>
        <w:rPr>
          <w:rFonts w:ascii="Times New Roman"/>
          <w:szCs w:val="20"/>
        </w:rPr>
      </w:pPr>
      <w:r>
        <w:rPr>
          <w:rFonts w:ascii="Times New Roman"/>
          <w:szCs w:val="20"/>
        </w:rPr>
        <w:t>Inter-band carrier aggregation including FR1+FR2</w:t>
      </w:r>
    </w:p>
    <w:p w14:paraId="46382643" w14:textId="3DFD08FB" w:rsidR="00B24B38" w:rsidRPr="00B24B38" w:rsidRDefault="00B24B38" w:rsidP="00A161A6">
      <w:pPr>
        <w:pStyle w:val="af4"/>
        <w:widowControl/>
        <w:numPr>
          <w:ilvl w:val="3"/>
          <w:numId w:val="39"/>
        </w:numPr>
        <w:spacing w:after="0" w:line="240" w:lineRule="auto"/>
        <w:ind w:leftChars="0"/>
        <w:rPr>
          <w:rFonts w:ascii="Times New Roman"/>
          <w:szCs w:val="20"/>
        </w:rPr>
      </w:pPr>
      <w:r>
        <w:rPr>
          <w:rFonts w:ascii="Times New Roman"/>
          <w:szCs w:val="20"/>
        </w:rPr>
        <w:t>T</w:t>
      </w:r>
      <w:r w:rsidRPr="00B24B38">
        <w:rPr>
          <w:rFonts w:ascii="Times New Roman"/>
          <w:szCs w:val="20"/>
        </w:rPr>
        <w:t xml:space="preserve">he Rel-18 assumption </w:t>
      </w:r>
      <w:r w:rsidRPr="00B24B38">
        <w:rPr>
          <w:rFonts w:ascii="Times New Roman"/>
          <w:szCs w:val="20"/>
        </w:rPr>
        <w:t>“</w:t>
      </w:r>
      <w:r w:rsidRPr="00B24B38">
        <w:rPr>
          <w:rFonts w:ascii="Times New Roman"/>
          <w:szCs w:val="20"/>
        </w:rPr>
        <w:t>Same subcarrier spacing (SCS) among CA carriers to avoid resource selection enhancements and AGC issues</w:t>
      </w:r>
      <w:r w:rsidRPr="00B24B38">
        <w:rPr>
          <w:rFonts w:ascii="Times New Roman"/>
          <w:szCs w:val="20"/>
        </w:rPr>
        <w:t>”</w:t>
      </w:r>
      <w:r w:rsidRPr="00B24B38">
        <w:rPr>
          <w:rFonts w:ascii="Times New Roman"/>
          <w:szCs w:val="20"/>
        </w:rPr>
        <w:t xml:space="preserve"> and </w:t>
      </w:r>
      <w:r w:rsidRPr="00B24B38">
        <w:rPr>
          <w:rFonts w:ascii="Times New Roman"/>
          <w:szCs w:val="20"/>
        </w:rPr>
        <w:t>“</w:t>
      </w:r>
      <w:r w:rsidRPr="00B24B38">
        <w:rPr>
          <w:rFonts w:ascii="Times New Roman"/>
          <w:szCs w:val="20"/>
        </w:rPr>
        <w:t>Time resources for PSFCH are aligned among the carriers for CA</w:t>
      </w:r>
      <w:r>
        <w:rPr>
          <w:rFonts w:ascii="Times New Roman"/>
          <w:szCs w:val="20"/>
        </w:rPr>
        <w:t>.</w:t>
      </w:r>
      <w:r>
        <w:rPr>
          <w:rFonts w:ascii="Times New Roman"/>
          <w:szCs w:val="20"/>
        </w:rPr>
        <w:t>”</w:t>
      </w:r>
      <w:r>
        <w:rPr>
          <w:rFonts w:ascii="Times New Roman"/>
          <w:szCs w:val="20"/>
        </w:rPr>
        <w:t xml:space="preserve"> apply to the carriers in the same frequency band.</w:t>
      </w:r>
    </w:p>
    <w:p w14:paraId="57B0C08D" w14:textId="2421875D" w:rsidR="00166A4C" w:rsidRDefault="00166A4C" w:rsidP="00166A4C">
      <w:pPr>
        <w:pStyle w:val="af4"/>
        <w:widowControl/>
        <w:numPr>
          <w:ilvl w:val="1"/>
          <w:numId w:val="39"/>
        </w:numPr>
        <w:spacing w:after="0" w:line="240" w:lineRule="auto"/>
        <w:ind w:leftChars="0"/>
        <w:rPr>
          <w:rFonts w:ascii="Times New Roman"/>
          <w:szCs w:val="20"/>
        </w:rPr>
      </w:pPr>
      <w:r>
        <w:rPr>
          <w:rFonts w:ascii="Times New Roman"/>
          <w:szCs w:val="20"/>
        </w:rPr>
        <w:t>Sidelink beam management</w:t>
      </w:r>
    </w:p>
    <w:p w14:paraId="6D2754C5" w14:textId="143876C4" w:rsidR="00B24B38" w:rsidRDefault="00B24B38" w:rsidP="00166A4C">
      <w:pPr>
        <w:pStyle w:val="af4"/>
        <w:widowControl/>
        <w:numPr>
          <w:ilvl w:val="2"/>
          <w:numId w:val="39"/>
        </w:numPr>
        <w:spacing w:after="0" w:line="240" w:lineRule="auto"/>
        <w:ind w:leftChars="0"/>
        <w:rPr>
          <w:rFonts w:ascii="Times New Roman"/>
          <w:szCs w:val="20"/>
        </w:rPr>
      </w:pPr>
      <w:r>
        <w:rPr>
          <w:rFonts w:ascii="Times New Roman" w:hint="eastAsia"/>
          <w:szCs w:val="20"/>
        </w:rPr>
        <w:t xml:space="preserve">Support of initial beam pairing, beam </w:t>
      </w:r>
      <w:r w:rsidR="007D0EDF">
        <w:rPr>
          <w:rFonts w:ascii="Times New Roman"/>
          <w:szCs w:val="20"/>
        </w:rPr>
        <w:t>maintenance</w:t>
      </w:r>
      <w:r>
        <w:rPr>
          <w:rFonts w:ascii="Times New Roman" w:hint="eastAsia"/>
          <w:szCs w:val="20"/>
        </w:rPr>
        <w:t>, and beam failure recovery</w:t>
      </w:r>
    </w:p>
    <w:p w14:paraId="18EC0773" w14:textId="72D2D6F0" w:rsidR="00B24B38" w:rsidRDefault="00B24B38" w:rsidP="00B24B38">
      <w:pPr>
        <w:pStyle w:val="af4"/>
        <w:widowControl/>
        <w:numPr>
          <w:ilvl w:val="3"/>
          <w:numId w:val="39"/>
        </w:numPr>
        <w:spacing w:after="0" w:line="240" w:lineRule="auto"/>
        <w:ind w:leftChars="0"/>
        <w:rPr>
          <w:rFonts w:ascii="Times New Roman"/>
          <w:szCs w:val="20"/>
        </w:rPr>
      </w:pPr>
      <w:r>
        <w:rPr>
          <w:rFonts w:ascii="Times New Roman"/>
          <w:szCs w:val="20"/>
        </w:rPr>
        <w:t>When FR1+FR2 carrier aggregation is applicable, use of FR1 for the relevant signaling should be supported.</w:t>
      </w:r>
    </w:p>
    <w:p w14:paraId="2B947228" w14:textId="18372528" w:rsidR="00B24B38" w:rsidRDefault="00B24B38" w:rsidP="00B24B38">
      <w:pPr>
        <w:pStyle w:val="af4"/>
        <w:widowControl/>
        <w:numPr>
          <w:ilvl w:val="2"/>
          <w:numId w:val="39"/>
        </w:numPr>
        <w:spacing w:after="0" w:line="240" w:lineRule="auto"/>
        <w:ind w:leftChars="0"/>
        <w:rPr>
          <w:rFonts w:ascii="Times New Roman"/>
          <w:szCs w:val="20"/>
        </w:rPr>
      </w:pPr>
      <w:r>
        <w:rPr>
          <w:rFonts w:ascii="Times New Roman"/>
          <w:szCs w:val="20"/>
        </w:rPr>
        <w:t>Study the impact on the resource selection in Mode 2 and specify necessary enhancements, if any.</w:t>
      </w:r>
    </w:p>
    <w:p w14:paraId="19BFE005" w14:textId="38CFCA52" w:rsidR="00166A4C" w:rsidRDefault="00166A4C" w:rsidP="00166A4C">
      <w:pPr>
        <w:pStyle w:val="af4"/>
        <w:widowControl/>
        <w:numPr>
          <w:ilvl w:val="2"/>
          <w:numId w:val="39"/>
        </w:numPr>
        <w:spacing w:after="0" w:line="240" w:lineRule="auto"/>
        <w:ind w:leftChars="0"/>
        <w:rPr>
          <w:rFonts w:ascii="Times New Roman"/>
          <w:szCs w:val="20"/>
        </w:rPr>
      </w:pPr>
      <w:r>
        <w:rPr>
          <w:rFonts w:ascii="Times New Roman"/>
          <w:szCs w:val="20"/>
        </w:rPr>
        <w:t>Target both FR2-1 and FR2-2, without precluding the possibility of applying the specified beam management to FR1.</w:t>
      </w:r>
    </w:p>
    <w:p w14:paraId="2F4E628C" w14:textId="0E036B30" w:rsidR="00B24B38" w:rsidRDefault="00B24B38" w:rsidP="00166A4C">
      <w:pPr>
        <w:pStyle w:val="af4"/>
        <w:widowControl/>
        <w:numPr>
          <w:ilvl w:val="2"/>
          <w:numId w:val="39"/>
        </w:numPr>
        <w:spacing w:after="0" w:line="240" w:lineRule="auto"/>
        <w:ind w:leftChars="0"/>
        <w:rPr>
          <w:rFonts w:ascii="Times New Roman"/>
          <w:szCs w:val="20"/>
        </w:rPr>
      </w:pPr>
      <w:r>
        <w:rPr>
          <w:rFonts w:ascii="Times New Roman" w:hint="eastAsia"/>
          <w:szCs w:val="20"/>
        </w:rPr>
        <w:t xml:space="preserve">Focus on unicast while supporting broadcast/groupcast without </w:t>
      </w:r>
      <w:r>
        <w:rPr>
          <w:rFonts w:ascii="Times New Roman"/>
          <w:szCs w:val="20"/>
        </w:rPr>
        <w:t>optimization</w:t>
      </w:r>
      <w:r>
        <w:rPr>
          <w:rFonts w:ascii="Times New Roman" w:hint="eastAsia"/>
          <w:szCs w:val="20"/>
        </w:rPr>
        <w:t xml:space="preserve"> </w:t>
      </w:r>
      <w:r>
        <w:rPr>
          <w:rFonts w:ascii="Times New Roman"/>
          <w:szCs w:val="20"/>
        </w:rPr>
        <w:t>(e.g., no sidelink HARQ feedback for groupcast, no beam pairing procedure for broadcast/groupcast, etc.)</w:t>
      </w:r>
      <w:r w:rsidR="007D0EDF">
        <w:rPr>
          <w:rFonts w:ascii="Times New Roman"/>
          <w:szCs w:val="20"/>
        </w:rPr>
        <w:t>.</w:t>
      </w:r>
    </w:p>
    <w:p w14:paraId="32FF7A4B" w14:textId="06CEDD7F" w:rsidR="007D0EDF" w:rsidRPr="00166A4C" w:rsidRDefault="007D0EDF" w:rsidP="00166A4C">
      <w:pPr>
        <w:pStyle w:val="af4"/>
        <w:widowControl/>
        <w:numPr>
          <w:ilvl w:val="2"/>
          <w:numId w:val="39"/>
        </w:numPr>
        <w:spacing w:after="0" w:line="240" w:lineRule="auto"/>
        <w:ind w:leftChars="0"/>
        <w:rPr>
          <w:rFonts w:ascii="Times New Roman"/>
          <w:szCs w:val="20"/>
        </w:rPr>
      </w:pPr>
      <w:r>
        <w:rPr>
          <w:rFonts w:ascii="Times New Roman"/>
          <w:szCs w:val="20"/>
        </w:rPr>
        <w:t xml:space="preserve">The Rel-18 assumption </w:t>
      </w:r>
      <w:r>
        <w:rPr>
          <w:rFonts w:ascii="Times New Roman"/>
          <w:szCs w:val="20"/>
        </w:rPr>
        <w:t>“</w:t>
      </w:r>
      <w:r>
        <w:rPr>
          <w:rFonts w:ascii="Times" w:hAnsi="Times" w:cs="Times"/>
        </w:rPr>
        <w:t>I</w:t>
      </w:r>
      <w:r w:rsidRPr="00914F54">
        <w:rPr>
          <w:rFonts w:ascii="Times" w:hAnsi="Times" w:cs="Times"/>
        </w:rPr>
        <w:t xml:space="preserve">n sidelink unlicensed operation, the gNB does not perform Type 1 </w:t>
      </w:r>
      <w:r>
        <w:rPr>
          <w:rFonts w:ascii="Times" w:hAnsi="Times" w:cs="Times"/>
        </w:rPr>
        <w:t xml:space="preserve">channel access </w:t>
      </w:r>
      <w:r w:rsidRPr="00914F54">
        <w:rPr>
          <w:rFonts w:ascii="Times" w:hAnsi="Times" w:cs="Times"/>
        </w:rPr>
        <w:t xml:space="preserve">to initiate and share a channel occupancy, neither Type 2 </w:t>
      </w:r>
      <w:r>
        <w:rPr>
          <w:rFonts w:ascii="Times" w:hAnsi="Times" w:cs="Times"/>
        </w:rPr>
        <w:t xml:space="preserve">channel access </w:t>
      </w:r>
      <w:r w:rsidRPr="00914F54">
        <w:rPr>
          <w:rFonts w:ascii="Times" w:hAnsi="Times" w:cs="Times"/>
        </w:rPr>
        <w:t>to share an initiated channel occupancy, nor semi-static channel access procedures to access an unlicensed channel.</w:t>
      </w:r>
      <w:r>
        <w:rPr>
          <w:rFonts w:ascii="Times New Roman"/>
          <w:szCs w:val="20"/>
        </w:rPr>
        <w:t>”</w:t>
      </w:r>
      <w:r>
        <w:rPr>
          <w:rFonts w:ascii="Times New Roman"/>
          <w:szCs w:val="20"/>
        </w:rPr>
        <w:t xml:space="preserve"> is kept.</w:t>
      </w:r>
    </w:p>
    <w:p w14:paraId="115E2EFA" w14:textId="7455BE3B" w:rsidR="00B57867" w:rsidRPr="00467D0E" w:rsidRDefault="00B57867" w:rsidP="00AA30BC">
      <w:pPr>
        <w:tabs>
          <w:tab w:val="left" w:pos="3261"/>
        </w:tabs>
        <w:wordWrap/>
        <w:adjustRightInd w:val="0"/>
        <w:snapToGrid w:val="0"/>
        <w:spacing w:line="360" w:lineRule="auto"/>
        <w:rPr>
          <w:rFonts w:ascii="Arial" w:hAnsi="Arial" w:cs="Arial"/>
          <w:b/>
          <w:bCs/>
          <w:snapToGrid w:val="0"/>
          <w:sz w:val="24"/>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26C32346" w:rsidR="00234561" w:rsidRDefault="007B5A81" w:rsidP="007B5A81">
      <w:pPr>
        <w:pStyle w:val="af4"/>
        <w:numPr>
          <w:ilvl w:val="0"/>
          <w:numId w:val="14"/>
        </w:numPr>
        <w:spacing w:after="0"/>
        <w:ind w:leftChars="0"/>
        <w:rPr>
          <w:rFonts w:ascii="Times New Roman" w:eastAsia="바탕체" w:hAnsi="Times New Roman"/>
          <w:lang w:eastAsia="zh-CN"/>
        </w:rPr>
      </w:pPr>
      <w:r w:rsidRPr="007B5A81">
        <w:rPr>
          <w:rFonts w:ascii="Times New Roman" w:eastAsia="바탕체" w:hAnsi="Times New Roman"/>
          <w:lang w:eastAsia="zh-CN"/>
        </w:rPr>
        <w:t>RWS-230488</w:t>
      </w:r>
      <w:r w:rsidR="00AF1EF4">
        <w:rPr>
          <w:rFonts w:ascii="Times New Roman" w:eastAsia="바탕체" w:hAnsi="Times New Roman"/>
          <w:lang w:eastAsia="zh-CN"/>
        </w:rPr>
        <w:t>, “</w:t>
      </w:r>
      <w:r w:rsidRPr="007B5A81">
        <w:rPr>
          <w:rFonts w:ascii="Times New Roman" w:eastAsia="바탕체" w:hAnsi="Times New Roman"/>
          <w:lang w:eastAsia="zh-CN"/>
        </w:rPr>
        <w:t>RAN Chair’s Summary of Rel-19 Workshop</w:t>
      </w:r>
      <w:r w:rsidR="00AF1EF4">
        <w:rPr>
          <w:rFonts w:ascii="Times New Roman" w:eastAsia="바탕체" w:hAnsi="Times New Roman"/>
          <w:lang w:eastAsia="zh-CN"/>
        </w:rPr>
        <w:t xml:space="preserve">,” </w:t>
      </w:r>
      <w:r w:rsidRPr="007B5A81">
        <w:rPr>
          <w:rFonts w:ascii="Times New Roman" w:eastAsia="바탕체" w:hAnsi="Times New Roman"/>
          <w:lang w:eastAsia="zh-CN"/>
        </w:rPr>
        <w:t>RAN Chair</w:t>
      </w:r>
      <w:r w:rsidR="00AF1EF4">
        <w:rPr>
          <w:rFonts w:ascii="Times New Roman" w:eastAsia="바탕체" w:hAnsi="Times New Roman"/>
          <w:lang w:eastAsia="zh-CN"/>
        </w:rPr>
        <w:t>.</w:t>
      </w:r>
    </w:p>
    <w:p w14:paraId="4EFCB0A1" w14:textId="13DC6A7D" w:rsidR="00AC7075" w:rsidRDefault="00AC7075" w:rsidP="00AC7075">
      <w:pPr>
        <w:pStyle w:val="af4"/>
        <w:numPr>
          <w:ilvl w:val="0"/>
          <w:numId w:val="14"/>
        </w:numPr>
        <w:spacing w:after="0"/>
        <w:ind w:leftChars="0"/>
        <w:rPr>
          <w:rFonts w:ascii="Times New Roman" w:eastAsia="바탕체" w:hAnsi="Times New Roman"/>
          <w:lang w:eastAsia="zh-CN"/>
        </w:rPr>
      </w:pPr>
      <w:r w:rsidRPr="00AC7075">
        <w:rPr>
          <w:rFonts w:ascii="Times New Roman" w:eastAsia="바탕체" w:hAnsi="Times New Roman"/>
          <w:lang w:eastAsia="zh-CN"/>
        </w:rPr>
        <w:lastRenderedPageBreak/>
        <w:t>R</w:t>
      </w:r>
      <w:r w:rsidR="00CD0823">
        <w:rPr>
          <w:rFonts w:ascii="Times New Roman" w:eastAsia="바탕체" w:hAnsi="Times New Roman"/>
          <w:lang w:eastAsia="zh-CN"/>
        </w:rPr>
        <w:t>WS</w:t>
      </w:r>
      <w:r w:rsidRPr="00AC7075">
        <w:rPr>
          <w:rFonts w:ascii="Times New Roman" w:eastAsia="바탕체" w:hAnsi="Times New Roman"/>
          <w:lang w:eastAsia="zh-CN"/>
        </w:rPr>
        <w:t>-</w:t>
      </w:r>
      <w:r w:rsidR="00CD0823">
        <w:rPr>
          <w:rFonts w:ascii="Times New Roman" w:eastAsia="바탕체" w:hAnsi="Times New Roman"/>
          <w:lang w:eastAsia="zh-CN"/>
        </w:rPr>
        <w:t>230164</w:t>
      </w:r>
      <w:r>
        <w:rPr>
          <w:rFonts w:ascii="Times New Roman" w:eastAsia="바탕체" w:hAnsi="Times New Roman"/>
          <w:lang w:eastAsia="zh-CN"/>
        </w:rPr>
        <w:t>, “</w:t>
      </w:r>
      <w:r w:rsidR="00CD0823">
        <w:rPr>
          <w:rFonts w:ascii="Times New Roman" w:eastAsia="바탕체" w:hAnsi="Times New Roman"/>
          <w:lang w:eastAsia="zh-CN"/>
        </w:rPr>
        <w:t>5GAA input to 3GPP Rel-19 workshop</w:t>
      </w:r>
      <w:r>
        <w:rPr>
          <w:rFonts w:ascii="Times New Roman" w:eastAsia="바탕체" w:hAnsi="Times New Roman"/>
          <w:lang w:eastAsia="zh-CN"/>
        </w:rPr>
        <w:t xml:space="preserve">,” </w:t>
      </w:r>
      <w:r w:rsidR="00CD0823">
        <w:rPr>
          <w:rFonts w:ascii="Times New Roman" w:eastAsia="바탕체" w:hAnsi="Times New Roman"/>
          <w:lang w:eastAsia="zh-CN"/>
        </w:rPr>
        <w:t>5GAA.</w:t>
      </w:r>
    </w:p>
    <w:p w14:paraId="506939A1" w14:textId="59E3417D" w:rsidR="00AC7075" w:rsidRDefault="00AC7075" w:rsidP="00AC7075">
      <w:pPr>
        <w:pStyle w:val="af4"/>
        <w:numPr>
          <w:ilvl w:val="0"/>
          <w:numId w:val="14"/>
        </w:numPr>
        <w:spacing w:after="0"/>
        <w:ind w:leftChars="0"/>
        <w:rPr>
          <w:rFonts w:ascii="Times New Roman" w:eastAsia="바탕체" w:hAnsi="Times New Roman"/>
          <w:lang w:eastAsia="zh-CN"/>
        </w:rPr>
      </w:pPr>
      <w:r w:rsidRPr="00AC7075">
        <w:rPr>
          <w:rFonts w:ascii="Times New Roman" w:eastAsia="바탕체" w:hAnsi="Times New Roman"/>
          <w:lang w:eastAsia="zh-CN"/>
        </w:rPr>
        <w:t>R</w:t>
      </w:r>
      <w:r w:rsidR="00CD0823">
        <w:rPr>
          <w:rFonts w:ascii="Times New Roman" w:eastAsia="바탕체" w:hAnsi="Times New Roman"/>
          <w:lang w:eastAsia="zh-CN"/>
        </w:rPr>
        <w:t>WS</w:t>
      </w:r>
      <w:r w:rsidRPr="00AC7075">
        <w:rPr>
          <w:rFonts w:ascii="Times New Roman" w:eastAsia="바탕체" w:hAnsi="Times New Roman"/>
          <w:lang w:eastAsia="zh-CN"/>
        </w:rPr>
        <w:t>-</w:t>
      </w:r>
      <w:r w:rsidR="00CD0823">
        <w:rPr>
          <w:rFonts w:ascii="Times New Roman" w:eastAsia="바탕체" w:hAnsi="Times New Roman"/>
          <w:lang w:eastAsia="zh-CN"/>
        </w:rPr>
        <w:t>230451</w:t>
      </w:r>
      <w:r>
        <w:rPr>
          <w:rFonts w:ascii="Times New Roman" w:eastAsia="바탕체" w:hAnsi="Times New Roman"/>
          <w:lang w:eastAsia="zh-CN"/>
        </w:rPr>
        <w:t>, “</w:t>
      </w:r>
      <w:r w:rsidR="00CD0823">
        <w:rPr>
          <w:rFonts w:ascii="Times New Roman" w:eastAsia="바탕체" w:hAnsi="Times New Roman"/>
          <w:lang w:eastAsia="zh-CN"/>
        </w:rPr>
        <w:t>Continuation of sidelink evolution</w:t>
      </w:r>
      <w:r>
        <w:rPr>
          <w:rFonts w:ascii="Times New Roman" w:eastAsia="바탕체" w:hAnsi="Times New Roman"/>
          <w:lang w:eastAsia="zh-CN"/>
        </w:rPr>
        <w:t xml:space="preserve">,” </w:t>
      </w:r>
      <w:r w:rsidR="00CD0823">
        <w:rPr>
          <w:rFonts w:ascii="Times New Roman" w:eastAsia="바탕체" w:hAnsi="Times New Roman"/>
          <w:lang w:eastAsia="zh-CN"/>
        </w:rPr>
        <w:t>Volkswagen</w:t>
      </w:r>
      <w:r>
        <w:rPr>
          <w:rFonts w:ascii="Times New Roman" w:eastAsia="바탕체" w:hAnsi="Times New Roman"/>
          <w:lang w:eastAsia="zh-CN"/>
        </w:rPr>
        <w:t>.</w:t>
      </w:r>
    </w:p>
    <w:p w14:paraId="7E5442E1" w14:textId="0F10F42B" w:rsidR="00CD0823" w:rsidRDefault="00CD0823" w:rsidP="00AC7075">
      <w:pPr>
        <w:pStyle w:val="af4"/>
        <w:numPr>
          <w:ilvl w:val="0"/>
          <w:numId w:val="14"/>
        </w:numPr>
        <w:spacing w:after="0"/>
        <w:ind w:leftChars="0"/>
        <w:rPr>
          <w:rFonts w:ascii="Times New Roman" w:eastAsia="바탕체" w:hAnsi="Times New Roman"/>
          <w:lang w:eastAsia="zh-CN"/>
        </w:rPr>
      </w:pPr>
      <w:r>
        <w:rPr>
          <w:rFonts w:ascii="Times New Roman" w:eastAsia="바탕체" w:hAnsi="Times New Roman"/>
          <w:lang w:eastAsia="zh-CN"/>
        </w:rPr>
        <w:t>RWS-230483, “Views on sidelink enhancement for Rel-19,” Toyota Info Technology Center.</w:t>
      </w:r>
    </w:p>
    <w:p w14:paraId="57439EEB" w14:textId="0628CC3B" w:rsidR="00AD6E62" w:rsidRDefault="00AD6E62" w:rsidP="00AD6E62">
      <w:pPr>
        <w:pStyle w:val="af4"/>
        <w:numPr>
          <w:ilvl w:val="0"/>
          <w:numId w:val="14"/>
        </w:numPr>
        <w:spacing w:after="0"/>
        <w:ind w:leftChars="0"/>
        <w:rPr>
          <w:rFonts w:ascii="Times New Roman" w:eastAsia="바탕체" w:hAnsi="Times New Roman"/>
          <w:lang w:eastAsia="zh-CN"/>
        </w:rPr>
      </w:pPr>
      <w:r>
        <w:rPr>
          <w:rFonts w:ascii="Times New Roman" w:eastAsia="바탕체" w:hAnsi="Times New Roman" w:hint="eastAsia"/>
        </w:rPr>
        <w:t xml:space="preserve">RWS-230047, </w:t>
      </w:r>
      <w:r>
        <w:rPr>
          <w:rFonts w:ascii="Times New Roman" w:eastAsia="바탕체" w:hAnsi="Times New Roman"/>
        </w:rPr>
        <w:t>“</w:t>
      </w:r>
      <w:r w:rsidRPr="00AD6E62">
        <w:rPr>
          <w:rFonts w:ascii="Times New Roman" w:eastAsia="바탕체" w:hAnsi="Times New Roman"/>
        </w:rPr>
        <w:t>Public Safety RAN needs for Rel-19</w:t>
      </w:r>
      <w:r>
        <w:rPr>
          <w:rFonts w:ascii="Times New Roman" w:eastAsia="바탕체" w:hAnsi="Times New Roman"/>
        </w:rPr>
        <w:t>,” FirstNet.</w:t>
      </w:r>
    </w:p>
    <w:p w14:paraId="24EFFDE2" w14:textId="77777777" w:rsidR="000B742A" w:rsidRPr="000B742A" w:rsidRDefault="00800D98" w:rsidP="00494D63">
      <w:pPr>
        <w:pStyle w:val="af4"/>
        <w:numPr>
          <w:ilvl w:val="0"/>
          <w:numId w:val="14"/>
        </w:numPr>
        <w:spacing w:after="0"/>
        <w:ind w:leftChars="0"/>
        <w:rPr>
          <w:rStyle w:val="ab"/>
          <w:rFonts w:ascii="Times New Roman" w:eastAsia="바탕체" w:hAnsi="Times New Roman" w:cs="Times New Roman"/>
          <w:color w:val="auto"/>
          <w:u w:val="none"/>
        </w:rPr>
      </w:pPr>
      <w:hyperlink r:id="rId8" w:history="1">
        <w:r w:rsidR="00494D63" w:rsidRPr="00BA5E13">
          <w:rPr>
            <w:rStyle w:val="ab"/>
            <w:rFonts w:ascii="Times New Roman" w:eastAsia="바탕체" w:hAnsi="Times New Roman" w:cs="Times New Roman"/>
          </w:rPr>
          <w:t>https://www.ces.tech/innovation-</w:t>
        </w:r>
        <w:r w:rsidR="00494D63" w:rsidRPr="00BA5E13">
          <w:rPr>
            <w:rStyle w:val="ab"/>
            <w:rFonts w:ascii="Times New Roman" w:eastAsia="바탕체" w:hAnsi="Times New Roman" w:cs="Times New Roman"/>
          </w:rPr>
          <w:t>a</w:t>
        </w:r>
        <w:r w:rsidR="00494D63" w:rsidRPr="00BA5E13">
          <w:rPr>
            <w:rStyle w:val="ab"/>
            <w:rFonts w:ascii="Times New Roman" w:eastAsia="바탕체" w:hAnsi="Times New Roman" w:cs="Times New Roman"/>
          </w:rPr>
          <w:t>wards/honorees/2023/honorees/l/lg-97-inch-4k-oled-audio-video-wireless-tv.aspx</w:t>
        </w:r>
      </w:hyperlink>
    </w:p>
    <w:p w14:paraId="6412EA81" w14:textId="562EECE9" w:rsidR="00494D63" w:rsidRPr="00494D63" w:rsidRDefault="00800D98" w:rsidP="00494D63">
      <w:pPr>
        <w:pStyle w:val="af4"/>
        <w:numPr>
          <w:ilvl w:val="0"/>
          <w:numId w:val="14"/>
        </w:numPr>
        <w:spacing w:after="0"/>
        <w:ind w:leftChars="0"/>
        <w:rPr>
          <w:rFonts w:ascii="Times New Roman" w:eastAsia="바탕체" w:hAnsi="Times New Roman"/>
          <w:lang w:eastAsia="zh-CN"/>
        </w:rPr>
      </w:pPr>
      <w:hyperlink r:id="rId9" w:history="1">
        <w:r w:rsidR="00494D63" w:rsidRPr="00BA5E13">
          <w:rPr>
            <w:rStyle w:val="ab"/>
            <w:rFonts w:ascii="Times New Roman" w:eastAsia="바탕체" w:hAnsi="Times New Roman" w:cs="Times New Roman"/>
          </w:rPr>
          <w:t>https://theparadise.ng/ces-20</w:t>
        </w:r>
        <w:r w:rsidR="00494D63" w:rsidRPr="00BA5E13">
          <w:rPr>
            <w:rStyle w:val="ab"/>
            <w:rFonts w:ascii="Times New Roman" w:eastAsia="바탕체" w:hAnsi="Times New Roman" w:cs="Times New Roman"/>
          </w:rPr>
          <w:t>2</w:t>
        </w:r>
        <w:r w:rsidR="00494D63" w:rsidRPr="00BA5E13">
          <w:rPr>
            <w:rStyle w:val="ab"/>
            <w:rFonts w:ascii="Times New Roman" w:eastAsia="바탕체" w:hAnsi="Times New Roman" w:cs="Times New Roman"/>
          </w:rPr>
          <w:t>3-lg-introduces-the-worlds-first-wireless-oled-tv/</w:t>
        </w:r>
      </w:hyperlink>
    </w:p>
    <w:sectPr w:rsidR="00494D63" w:rsidRPr="00494D63"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1E210" w14:textId="77777777" w:rsidR="00800D98" w:rsidRDefault="00800D98">
      <w:r>
        <w:separator/>
      </w:r>
    </w:p>
  </w:endnote>
  <w:endnote w:type="continuationSeparator" w:id="0">
    <w:p w14:paraId="5EBE3197" w14:textId="77777777" w:rsidR="00800D98" w:rsidRDefault="0080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B742A">
      <w:rPr>
        <w:rStyle w:val="a8"/>
        <w:noProof/>
      </w:rPr>
      <w:t>2</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137FA" w14:textId="77777777" w:rsidR="00800D98" w:rsidRDefault="00800D98">
      <w:r>
        <w:separator/>
      </w:r>
    </w:p>
  </w:footnote>
  <w:footnote w:type="continuationSeparator" w:id="0">
    <w:p w14:paraId="64F575A7" w14:textId="77777777" w:rsidR="00800D98" w:rsidRDefault="00800D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838BA"/>
    <w:multiLevelType w:val="hybridMultilevel"/>
    <w:tmpl w:val="0F9C397C"/>
    <w:lvl w:ilvl="0" w:tplc="F8C2B930">
      <w:start w:val="3"/>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FC4552C"/>
    <w:multiLevelType w:val="hybridMultilevel"/>
    <w:tmpl w:val="1A84BB84"/>
    <w:lvl w:ilvl="0" w:tplc="37F88AF4">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874705B"/>
    <w:multiLevelType w:val="hybridMultilevel"/>
    <w:tmpl w:val="4E72F5A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609B66E0"/>
    <w:multiLevelType w:val="hybridMultilevel"/>
    <w:tmpl w:val="FC3ADACC"/>
    <w:lvl w:ilvl="0" w:tplc="EFFC59A4">
      <w:start w:val="1"/>
      <w:numFmt w:val="bullet"/>
      <w:lvlText w:val="-"/>
      <w:lvlJc w:val="left"/>
      <w:pPr>
        <w:ind w:left="1080" w:hanging="360"/>
      </w:pPr>
      <w:rPr>
        <w:rFonts w:ascii="Times" w:eastAsia="맑은 고딕" w:hAnsi="Times" w:cs="Time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2">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11"/>
  </w:num>
  <w:num w:numId="3">
    <w:abstractNumId w:val="25"/>
  </w:num>
  <w:num w:numId="4">
    <w:abstractNumId w:val="36"/>
  </w:num>
  <w:num w:numId="5">
    <w:abstractNumId w:val="37"/>
  </w:num>
  <w:num w:numId="6">
    <w:abstractNumId w:val="19"/>
  </w:num>
  <w:num w:numId="7">
    <w:abstractNumId w:val="27"/>
  </w:num>
  <w:num w:numId="8">
    <w:abstractNumId w:val="17"/>
  </w:num>
  <w:num w:numId="9">
    <w:abstractNumId w:val="1"/>
  </w:num>
  <w:num w:numId="10">
    <w:abstractNumId w:val="33"/>
  </w:num>
  <w:num w:numId="11">
    <w:abstractNumId w:val="6"/>
  </w:num>
  <w:num w:numId="12">
    <w:abstractNumId w:val="16"/>
  </w:num>
  <w:num w:numId="13">
    <w:abstractNumId w:val="30"/>
  </w:num>
  <w:num w:numId="14">
    <w:abstractNumId w:val="31"/>
  </w:num>
  <w:num w:numId="15">
    <w:abstractNumId w:val="13"/>
  </w:num>
  <w:num w:numId="16">
    <w:abstractNumId w:val="32"/>
  </w:num>
  <w:num w:numId="17">
    <w:abstractNumId w:val="24"/>
  </w:num>
  <w:num w:numId="18">
    <w:abstractNumId w:val="29"/>
  </w:num>
  <w:num w:numId="19">
    <w:abstractNumId w:val="29"/>
  </w:num>
  <w:num w:numId="20">
    <w:abstractNumId w:val="20"/>
  </w:num>
  <w:num w:numId="21">
    <w:abstractNumId w:val="26"/>
  </w:num>
  <w:num w:numId="22">
    <w:abstractNumId w:val="23"/>
  </w:num>
  <w:num w:numId="23">
    <w:abstractNumId w:val="2"/>
  </w:num>
  <w:num w:numId="2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5"/>
  </w:num>
  <w:num w:numId="31">
    <w:abstractNumId w:val="20"/>
  </w:num>
  <w:num w:numId="32">
    <w:abstractNumId w:val="8"/>
  </w:num>
  <w:num w:numId="33">
    <w:abstractNumId w:val="3"/>
  </w:num>
  <w:num w:numId="34">
    <w:abstractNumId w:val="22"/>
  </w:num>
  <w:num w:numId="35">
    <w:abstractNumId w:val="9"/>
  </w:num>
  <w:num w:numId="36">
    <w:abstractNumId w:val="28"/>
  </w:num>
  <w:num w:numId="37">
    <w:abstractNumId w:val="0"/>
  </w:num>
  <w:num w:numId="38">
    <w:abstractNumId w:val="34"/>
  </w:num>
  <w:num w:numId="39">
    <w:abstractNumId w:val="15"/>
  </w:num>
  <w:num w:numId="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35"/>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D1A"/>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01"/>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39FE"/>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36A8"/>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42A"/>
    <w:rsid w:val="000B759D"/>
    <w:rsid w:val="000B7695"/>
    <w:rsid w:val="000B7ED9"/>
    <w:rsid w:val="000B7EFD"/>
    <w:rsid w:val="000C029D"/>
    <w:rsid w:val="000C06C1"/>
    <w:rsid w:val="000C0BCF"/>
    <w:rsid w:val="000C1030"/>
    <w:rsid w:val="000C11D1"/>
    <w:rsid w:val="000C235B"/>
    <w:rsid w:val="000C2A55"/>
    <w:rsid w:val="000C2BA0"/>
    <w:rsid w:val="000C2E7D"/>
    <w:rsid w:val="000C3121"/>
    <w:rsid w:val="000C37FB"/>
    <w:rsid w:val="000C3DAF"/>
    <w:rsid w:val="000C44B8"/>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41"/>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AE3"/>
    <w:rsid w:val="00164C59"/>
    <w:rsid w:val="00164F21"/>
    <w:rsid w:val="00165579"/>
    <w:rsid w:val="001657C6"/>
    <w:rsid w:val="00165D0E"/>
    <w:rsid w:val="00165EC3"/>
    <w:rsid w:val="00166161"/>
    <w:rsid w:val="0016635D"/>
    <w:rsid w:val="0016676E"/>
    <w:rsid w:val="00166A4C"/>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5A7B"/>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59E8"/>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4BCB"/>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A89"/>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56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AA2"/>
    <w:rsid w:val="00247F15"/>
    <w:rsid w:val="0025153F"/>
    <w:rsid w:val="00251914"/>
    <w:rsid w:val="0025224A"/>
    <w:rsid w:val="00253046"/>
    <w:rsid w:val="002531D4"/>
    <w:rsid w:val="002534C1"/>
    <w:rsid w:val="002538B3"/>
    <w:rsid w:val="00253E96"/>
    <w:rsid w:val="00253F76"/>
    <w:rsid w:val="00254593"/>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157"/>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4E1"/>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44F"/>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5B5"/>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1C5"/>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4E0"/>
    <w:rsid w:val="002F2736"/>
    <w:rsid w:val="002F27DE"/>
    <w:rsid w:val="002F29D6"/>
    <w:rsid w:val="002F3081"/>
    <w:rsid w:val="002F3972"/>
    <w:rsid w:val="002F3BBB"/>
    <w:rsid w:val="002F473E"/>
    <w:rsid w:val="002F4777"/>
    <w:rsid w:val="002F5142"/>
    <w:rsid w:val="002F5159"/>
    <w:rsid w:val="002F565D"/>
    <w:rsid w:val="002F5AC8"/>
    <w:rsid w:val="002F6240"/>
    <w:rsid w:val="002F62DE"/>
    <w:rsid w:val="002F6B54"/>
    <w:rsid w:val="002F7353"/>
    <w:rsid w:val="002F7FBA"/>
    <w:rsid w:val="003002FF"/>
    <w:rsid w:val="00300F76"/>
    <w:rsid w:val="003012BE"/>
    <w:rsid w:val="00301385"/>
    <w:rsid w:val="00301393"/>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B8B"/>
    <w:rsid w:val="00374C34"/>
    <w:rsid w:val="0037509F"/>
    <w:rsid w:val="00375C14"/>
    <w:rsid w:val="00376109"/>
    <w:rsid w:val="0037632C"/>
    <w:rsid w:val="00376419"/>
    <w:rsid w:val="00376970"/>
    <w:rsid w:val="00376FBB"/>
    <w:rsid w:val="00377093"/>
    <w:rsid w:val="00377618"/>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30B"/>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2C4"/>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D0E"/>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87F1D"/>
    <w:rsid w:val="004902E9"/>
    <w:rsid w:val="00490480"/>
    <w:rsid w:val="00491048"/>
    <w:rsid w:val="0049105C"/>
    <w:rsid w:val="00491C2D"/>
    <w:rsid w:val="0049232C"/>
    <w:rsid w:val="004923ED"/>
    <w:rsid w:val="004927CA"/>
    <w:rsid w:val="00492AD7"/>
    <w:rsid w:val="00493C07"/>
    <w:rsid w:val="00493C09"/>
    <w:rsid w:val="0049472A"/>
    <w:rsid w:val="0049474C"/>
    <w:rsid w:val="00494D63"/>
    <w:rsid w:val="004950EE"/>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B13"/>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E76"/>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3E2"/>
    <w:rsid w:val="004F5463"/>
    <w:rsid w:val="004F5696"/>
    <w:rsid w:val="004F5AA0"/>
    <w:rsid w:val="004F6767"/>
    <w:rsid w:val="004F6DD0"/>
    <w:rsid w:val="004F735F"/>
    <w:rsid w:val="004F7FDF"/>
    <w:rsid w:val="00500A04"/>
    <w:rsid w:val="00500FE2"/>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341"/>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82F"/>
    <w:rsid w:val="00552998"/>
    <w:rsid w:val="005530D0"/>
    <w:rsid w:val="00554672"/>
    <w:rsid w:val="00555145"/>
    <w:rsid w:val="005560E9"/>
    <w:rsid w:val="0055632C"/>
    <w:rsid w:val="00556503"/>
    <w:rsid w:val="005569C3"/>
    <w:rsid w:val="00556B5E"/>
    <w:rsid w:val="005574D1"/>
    <w:rsid w:val="00557BFB"/>
    <w:rsid w:val="00557D1E"/>
    <w:rsid w:val="00557E4C"/>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58F"/>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88B"/>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54A"/>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40"/>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4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C8B"/>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57F"/>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A81"/>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EDF"/>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1ECF"/>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1A8"/>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0D98"/>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6DF3"/>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680"/>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12D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9E3"/>
    <w:rsid w:val="00924FEF"/>
    <w:rsid w:val="00925250"/>
    <w:rsid w:val="009252B3"/>
    <w:rsid w:val="009253DF"/>
    <w:rsid w:val="0092548F"/>
    <w:rsid w:val="009256E8"/>
    <w:rsid w:val="009257FC"/>
    <w:rsid w:val="0092708E"/>
    <w:rsid w:val="00927197"/>
    <w:rsid w:val="009278E3"/>
    <w:rsid w:val="0092792D"/>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CFD"/>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23E"/>
    <w:rsid w:val="009D63DB"/>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8AB"/>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4AE"/>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348"/>
    <w:rsid w:val="00A4570A"/>
    <w:rsid w:val="00A45FF6"/>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D4F"/>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07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6E62"/>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1EF4"/>
    <w:rsid w:val="00AF2498"/>
    <w:rsid w:val="00AF2637"/>
    <w:rsid w:val="00AF263D"/>
    <w:rsid w:val="00AF265B"/>
    <w:rsid w:val="00AF2B00"/>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4B38"/>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4B8"/>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4BC"/>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BC9"/>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981"/>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2F24"/>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2EB"/>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90"/>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2B0B"/>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38E3"/>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5EC"/>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38E"/>
    <w:rsid w:val="00CC14FB"/>
    <w:rsid w:val="00CC1714"/>
    <w:rsid w:val="00CC2EE7"/>
    <w:rsid w:val="00CC2FBD"/>
    <w:rsid w:val="00CC38F8"/>
    <w:rsid w:val="00CC3B73"/>
    <w:rsid w:val="00CC3E8D"/>
    <w:rsid w:val="00CC43AC"/>
    <w:rsid w:val="00CC4D1C"/>
    <w:rsid w:val="00CC4E91"/>
    <w:rsid w:val="00CC51AD"/>
    <w:rsid w:val="00CC5A5E"/>
    <w:rsid w:val="00CC6331"/>
    <w:rsid w:val="00CC6690"/>
    <w:rsid w:val="00CC76DF"/>
    <w:rsid w:val="00CC787B"/>
    <w:rsid w:val="00CC7E9A"/>
    <w:rsid w:val="00CD0078"/>
    <w:rsid w:val="00CD0823"/>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D3"/>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624"/>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5FFC"/>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977"/>
    <w:rsid w:val="00DD3B6D"/>
    <w:rsid w:val="00DD3F43"/>
    <w:rsid w:val="00DD4190"/>
    <w:rsid w:val="00DD4589"/>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3F7C"/>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B85"/>
    <w:rsid w:val="00E21CC6"/>
    <w:rsid w:val="00E22B10"/>
    <w:rsid w:val="00E24391"/>
    <w:rsid w:val="00E2497D"/>
    <w:rsid w:val="00E25830"/>
    <w:rsid w:val="00E26225"/>
    <w:rsid w:val="00E264AC"/>
    <w:rsid w:val="00E26536"/>
    <w:rsid w:val="00E266D6"/>
    <w:rsid w:val="00E26B25"/>
    <w:rsid w:val="00E271E1"/>
    <w:rsid w:val="00E271FA"/>
    <w:rsid w:val="00E27C7E"/>
    <w:rsid w:val="00E27F05"/>
    <w:rsid w:val="00E3023E"/>
    <w:rsid w:val="00E308E9"/>
    <w:rsid w:val="00E312C5"/>
    <w:rsid w:val="00E312CD"/>
    <w:rsid w:val="00E319D6"/>
    <w:rsid w:val="00E31A20"/>
    <w:rsid w:val="00E32527"/>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7B3"/>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81"/>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3E7"/>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4D6D"/>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BC1"/>
    <w:rsid w:val="00EE1E3C"/>
    <w:rsid w:val="00EE2048"/>
    <w:rsid w:val="00EE20DC"/>
    <w:rsid w:val="00EE21B7"/>
    <w:rsid w:val="00EE247F"/>
    <w:rsid w:val="00EE28D4"/>
    <w:rsid w:val="00EE290B"/>
    <w:rsid w:val="00EE2C66"/>
    <w:rsid w:val="00EE31C2"/>
    <w:rsid w:val="00EE32D8"/>
    <w:rsid w:val="00EE3326"/>
    <w:rsid w:val="00EE3C0C"/>
    <w:rsid w:val="00EE3E43"/>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156"/>
    <w:rsid w:val="00F056FC"/>
    <w:rsid w:val="00F05D9D"/>
    <w:rsid w:val="00F05DCA"/>
    <w:rsid w:val="00F06566"/>
    <w:rsid w:val="00F070EC"/>
    <w:rsid w:val="00F0760B"/>
    <w:rsid w:val="00F07958"/>
    <w:rsid w:val="00F07EF1"/>
    <w:rsid w:val="00F1029B"/>
    <w:rsid w:val="00F10CC1"/>
    <w:rsid w:val="00F111CD"/>
    <w:rsid w:val="00F11B75"/>
    <w:rsid w:val="00F13913"/>
    <w:rsid w:val="00F141DC"/>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7E9"/>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697"/>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9991">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8647065">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s.tech/innovation-awards/honorees/2023/honorees/l/lg-97-inch-4k-oled-audio-video-wireless-tv.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eparadise.ng/ces-2023-lg-introduces-the-worlds-first-wireless-oled-tv/"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E9FED-4719-43E3-9F91-78CC51807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1</Pages>
  <Words>1712</Words>
  <Characters>9765</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175</cp:revision>
  <cp:lastPrinted>2014-01-26T05:26:00Z</cp:lastPrinted>
  <dcterms:created xsi:type="dcterms:W3CDTF">2020-02-17T08:04:00Z</dcterms:created>
  <dcterms:modified xsi:type="dcterms:W3CDTF">2023-09-04T04:14:00Z</dcterms:modified>
</cp:coreProperties>
</file>